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1293 части четвертой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1 статьи 1293 части четвертой Гражданского кодекса Российской Федерации (Собрание законодательства Российской Федерации, 2006, № 52, ст. 5496; 2014, № 11, ст. 1100) изменение, изложив его в следующей редакции: "1. В случае отчуждения автором оригинала произведения изобразительного искусства при каждой перепродаже соответствующего оригинала, в которой в качестве посредника, покупателя или продавца участвует юридическое лицо или индивидуальный предприниматель (в частности, аукционный дом, галерея изобразительного искусства, художественный салон, магазин), автор имеет право на получение от продавца вознаграждения в виде процентных отчислений от цены перепродажи (право следования). Указанные в настоящем пункте юридическое лицо или индивидуальный предприниматель обязаны предоставлять сведения, необходимые для обеспечения выплаты вознаграждения, автору или организации по управлению правами на коллективной основе, представляющей его интересы, в том числе на основании соответствующего запроса автора или организации по управлению правами на коллективной основе, в порядке, установленном Правительством Российской Федерации. Перечень предусмотренных настоящим пунктом сведений, а также размер процентных отчислений, условия и порядок их выплаты определяются Правительством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июня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