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Абзац первый пункта 3 статьи 426 части первой Гражданского кодекса Российской Федерации (Собрание законодательства Российской Федерации, 1994, № 32, ст. 3301; 2008, № 30, ст. 3616; 2015, № 10, ст. 1412) дополнить словами ", за исключением случаев, предусмотренных пунктом 4 статьи 786 настоящего Кодекса".</w:t>
      </w:r>
    </w:p>
    <w:p>
      <w:r>
        <w:rPr>
          <w:b/>
        </w:rPr>
        <w:t>Статья 2</w:t>
      </w:r>
    </w:p>
    <w:p>
      <w:r>
        <w:t>Статью 786 части второй Гражданского кодекса Российской Федерации (Собрание законодательства Российской Федерации, 1996, № 5, ст. 410) дополнить пунктом 4 следующего содержания: "4. В случаях, предусмотренных статьей 1071 Воздушного кодекса Российской Федерации, перевозчик или лицо, уполномоченное перевозчиком на заключение договора воздушной перевозки пассажира, вправе отказать в заключении договора воздушной перевозки пассажира, если пассажир внесен в реестр лиц, воздушная перевозка которых ограничена перевозчиком.".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