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 силу абзаца пятого подпункта 1 пункта 1 статьи 25-8 части первой Налогового кодекса Российской Федерации</w:t>
      </w:r>
    </w:p>
    <w:p>
      <w:r>
        <w:rPr>
          <w:b/>
        </w:rPr>
        <w:t>Статья 1</w:t>
      </w:r>
    </w:p>
    <w:p>
      <w:r>
        <w:t>Абзац пятый подпункта 1 пункта 1 статьи 258 части первой Налогового кодекса Российской Федерации (Собрание законодательства Российской Федерации, 1998, № 31, ст. 3824; 2013, № 40, ст. 5037; 2014, № 23, ст. 2924) признать утратившим силу.</w:t>
      </w:r>
    </w:p>
    <w:p>
      <w:r>
        <w:rPr>
          <w:b/>
        </w:rPr>
        <w:t>Статья 2</w:t>
      </w:r>
    </w:p>
    <w:p>
      <w:r>
        <w:t>Организации, получившие статус участника регионального инвестиционного проекта на территории Республики Хакасия до дня вступления в силу настоящего Федерального закона, применяют налоговые ставки, налоговые льготы, порядок исчисления налогов, порядок и сроки уплаты налогов, предусмотренные для участников региональных инвестиционных проектов, в порядке, установленном Налоговым кодексом Российской Федерации до дня вступления в силу настоящего Федерального закона.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