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 части первой и статью 1252 части четвертой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Пункт 1 статьи 11 части первой Гражданского кодекса Российской Федерации (Собрание законодательства Российской Федерации, 1994, № 32, ст. 3301; 2006, № 52, ст. 5497) изложить в следующей редакции: "1. Защиту нарушенных или оспоренных гражданских прав осуществляет суд, арбитражный суд или третейский суд (далее - суд) в соответствии с их компетенцией.".</w:t>
      </w:r>
    </w:p>
    <w:p>
      <w:r>
        <w:rPr>
          <w:b/>
        </w:rPr>
        <w:t>Статья 2</w:t>
      </w:r>
    </w:p>
    <w:p>
      <w:r>
        <w:t>В абзаце первом пункта 51 статьи 1252 части четвертой Гражданского кодекса Российской Федерации (Собрание законодательства Российской Федерации, 2006, № 52, ст. 5496; 2014, № 11, ст. 1100; 2015, № 1, ст. 83; 2017, № 27, ст. 3944) слова "подведомствен арбитражному суду" заменить словами "подлежит рассмотрению в арбитражном суде".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