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2005, № 1, ст. 43; 2012, № 53, ст. 7627; 2018, № 22, ст. 3040) следующие изменения</w:t>
      </w:r>
    </w:p>
    <w:p>
      <w:r>
        <w:t>пункт 6 статьи 81 дополнить абзацем следующего содержания: "Приобретатель недвижимого имущества, полагавшийся при его приобретении на данные государственного реестра, признается добросовестным (статьи 234 и 302), пока в судебном порядке не доказано, что он знал или должен был знать об отсутствии права на отчуждение этого имущества у лица, от которого ему перешли права на него."</w:t>
      </w:r>
    </w:p>
    <w:p>
      <w:r>
        <w:t>статью 223 дополнить пунктом 3 следующего содержания: "3. Добросовестный приобретатель жилого помещения, в удовлетворении иска к которому отказано на основании пункта 4 статьи 302 настоящего Кодекса, признается собственником жилого помещения с момента государственной регистрации его права собственности.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пунктами 1 и 2 статьи 302 настоящего Кодекса лишь по требованию лица, не являющегося субъектом гражданского права, указанным в пункте 1 статьи 124 настоящего Кодекса."</w:t>
      </w:r>
    </w:p>
    <w:p>
      <w:r>
        <w:t>в статье 234: а) абзац первый пункта 1 после слов "недвижимым имуществом" дополнить словами ", если иные срок и условия приобретения не предусмотрены настоящей статьей,"; б) пункт 4 изложить в следующей редакции: "4. Течение срока приобретательной давности в отношении вещей, находящихся у лица, из владения которого они могли быть истребованы в соответствии со статьями 301 и 305 настоящего Кодекса, начинается со дня поступления вещи в открытое владение добросовестного приобретателя, а в случае, если было зарегистрировано право собственности добросовестного приобретателя недвижимой вещи, которой он владеет открыто, - не позднее момента государственной регистрации права собственности такого приобретателя."</w:t>
      </w:r>
    </w:p>
    <w:p>
      <w:r>
        <w:t>статью 302 дополнить пунктом 4 следующего содержания: "4. Суд отказывает в удовлетворении требования субъекта гражданского права, указанного в пункте 1 статьи 124 настоящего Кодекса, об истребовании жилого помещения у добросовестного приобретателя, не являющегося таким субъектом гражданского права, во всех случаях,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помещения. При этом бремя доказывания обстоятельств, свидетельствующих о недобросовестности приобретателя, или обстоятельств выбытия жилого помещения из владения истца несет субъект гражданского права, указанный в пункте 1 статьи 124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