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13-2 Федерального закона «О введении в действие части четвертой Гражданского кодекса Российской Федерации»"</w:t>
      </w:r>
    </w:p>
    <w:p>
      <w:r>
        <w:rPr>
          <w:b/>
        </w:rPr>
        <w:t>Статья 1</w:t>
      </w:r>
    </w:p>
    <w:p>
      <w:r>
        <w:t>Внести в часть четвертую статьи 13? Федерального закона от 18 декабря 2006 года № 231-ФЗ «О введении в действие части четвертой Гражданского кодекса Российской Федерации» (Собрание законодательства Российской Федерации, 2006, № 52, ст. 5497; 2023, № 1, ст. 62) изменение, заменив цифры «2025» цифрами «2026».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четвертой статьи 13? Федерального закона от 18 декабря 2006 года № 231-ФЗ «О введении в действие части четвертой Гражданского кодекса Российской Федерации» (в редакции настоящего Федерального закона) распространяется на заявления и заявки, поданные с 1 января 2026 года.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