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статьи 196 и 217 части первой Гражданского кодекса Российской Федерации"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2013, № 19, ст. 2327; № 44, ст. 5641) следующие изменения</w:t>
      </w:r>
    </w:p>
    <w:p>
      <w:r>
        <w:t>пункт 2 статьи 196 дополнить словами «и Федеральным законом от 30 ноября 2010 года 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</w:p>
    <w:p>
      <w:r>
        <w:t>в статье 217: dS, NN 2 100088 6940: 2 а) в абзаце первом слова «Имущество, находящееся» заменить словами «1. Имущество, находящееся»</w:t>
      </w:r>
    </w:p>
    <w:p>
      <w:r>
        <w:t>дополнить пунктом 2 следующего содержания: «2. В случае применения гражданско-правовых последствий нарушения требований законодательства при приватизации государственного и муниципального имущества подлежат применению установленные настоящим Кодексом сроки исковой давности и правила их исчисления. При этом срок исковой давности по искам об истребовании имущества, выбывшего из владения Российской Федерации, субъектов Российской Федерации и муниципальных образований в результате его приватизации, а также по искам о применении иных гражданско-правовых последствий нарушения требований законодательства о приватизации государственного и муниципального имущества во всяком случае не может превышать десять лет со дня нарушения права. Суд отказывает в удовлетворении требования Российской Федерации, субъектов Российской Федерации и муниципальных образований об истребовании приватизированного имущества, если после выбытия имущества из владения Российской Федерации, субъектов Российской Федерации и муниципальных образований истекло десять лет со дня нарушения права.»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2 статьи 217 Гражданского кодекса Российской Федерации применяются к требованиям, сроки предъявления которых возникли со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Действие положений пункта 2 статьи 217 Гражданского кодекса Российской Федерации распространяется на требования, сроки предъявления которых возникли до дня вступления в силу настоящего Федерального закона, если судебные решения по этим требованиям не вступили в законную силу. ской Федерации В.Путин № 167-ФЗ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