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4112 - 4114; 2020, № 13, ст. 1857; № 29, ст. 4501; № 31, ст. 5024; № 48, ст. 7627) изменение, дополнив его подпунктом 321 следующего содержания: "321) следующих услуг: услуг по реализации иностранными лицами прав на проведение чемпионата мира FIA "Формула-1", включающих в себя право на популяризацию мероприятия и право называть мероприятие российского этапа указанного чемпионата "Чемпионат мира FIA "Формула-1"; рекламных услуг, реализуемых организацией, которая приобрела права, указанные в абзаце втором настоящего подпункта, на территории объекта спорта для проведения шоссейно-кольцевых автомобильных гонок серии "Формула-1" и объектов инфраструктуры, обеспечивающих функционирование указанного объекта спорта;".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321 пункта 2 статьи 149 Налогового кодекса Российской Федерации распространяется на правоотношения, возникшие с 1 января 2021 года</w:t>
      </w:r>
    </w:p>
    <w:p>
      <w:r>
        <w:rPr>
          <w:b/>
        </w:rPr>
        <w:t xml:space="preserve">3. </w:t>
      </w:r>
      <w:r>
        <w:t>Положения подпункта 321 пункта 2 статьи 149 Налогового кодекса Российской Федерации применяются по 31 декабря 2025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