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6.34.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"Статья 15.12. Производство, ввод в оборот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информации"; "Статья 15.121. Непредставление сведений и (или) нарушение порядка и сроков представления сведений либо представление неполных и (или) недостоверных сведений оператору государственной информационной системы мониторинга за оборотом товаров, подлежащих обязательной маркировке средствами идентификации "Статья 23.93. Федеральные органы исполнительной власти, осуществляющие функции по контролю (надзору) в сфере обращения товаров, подлежащих маркировке средствами идентификации, с использованием государственной информационной системы мониторинга за оборотом товаров, подлежащих обязательной маркировке средствами идентификации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