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2020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2020 год со следующими основными показателями</w:t>
      </w:r>
    </w:p>
    <w:p>
      <w:r>
        <w:t>общий объем доходов бюджета Фонда в сумме 2 392 692 980,1 тыс. рублей, в том числе за счет межбюджетных трансфертов, полученных из федерального бюджета в сумме 247 742 139,2 тыс. рублей</w:t>
      </w:r>
    </w:p>
    <w:p>
      <w:r>
        <w:t>общий объем расходов бюджета Фонда в сумме 2 360 463 078,6 тыс. рублей, в том числе межбюджетные трансферты, переданные бюджету Фонда социального страхования Российской Федерации в сумме 13 644 259,3 тыс. рублей</w:t>
      </w:r>
    </w:p>
    <w:p>
      <w:r>
        <w:t>объем профицита бюджета Фонда в сумме 32 229 901,5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2020 год</w:t>
      </w:r>
    </w:p>
    <w:p>
      <w:r>
        <w:t>доходы бюджета Фонда по кодам классификации доходов бюджетов за 2020 год согласно приложению 1 к настоящему Федеральному закону</w:t>
      </w:r>
    </w:p>
    <w:p>
      <w:r>
        <w:t>структура расходов бюджета Фонда за 2020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2020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2020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