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2016, № 27, ст. 4296; 2018, № 32, ст. 5113; 2021, № 27, ст. 5171) следующие изменения</w:t>
      </w:r>
    </w:p>
    <w:p>
      <w:r>
        <w:t>в пункте 4 статьи 132 слово "десяти" заменить словом "пятидесяти"</w:t>
      </w:r>
    </w:p>
    <w:p>
      <w:r>
        <w:t>в статье 133: а) в абзаце первом пункта 1 слово "десяти" заменить словом "пятидесяти"; б) в пункте 3 слово "десяти" заменить словом "пятидесяти"; в) в пункте 4 слово "десяти" заменить словом "пятидесяти"</w:t>
      </w:r>
    </w:p>
    <w:p>
      <w:r>
        <w:rPr>
          <w:b/>
        </w:rPr>
        <w:t>Статья 2</w:t>
      </w:r>
    </w:p>
    <w:p>
      <w:r>
        <w:t>Статью 121 Федерального закона от 17 июля 1999 года № 178-ФЗ "О государственной социальной помощи" (Собрание законодательства Российской Федерации, 1999, № 29, ст. 3699; 2009, № 30, ст. 3739; 2014, № 11, ст. 1098; № 30, ст. 4217; 2016, № 52, ст. 7502, 7503; 2017, № 27, ст. 3951; 2018, № 1, ст. 4; № 53, ст. 8462; 2019, № 14, ст. 1462; № 40, ст. 5488; № 49, ст. 6971; 2021, № 1, ст. 12; № 22, ст. 3688) дополнить частью 17 следующего содержания: "17.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
        <w:rPr>
          <w:b/>
        </w:rPr>
        <w:t>Статья 3</w:t>
      </w:r>
    </w:p>
    <w:p>
      <w:r>
        <w:t>Внести в статью 25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2004, № 19, ст. 1835; 2006, № 48, ст. 4946; 2009, № 29, ст. 3624; № 30, ст. 3739; 2011, № 14, ст. 1806; 2014, № 30, ст. 4217; 2018, № 53, ст. 8462; 2019, № 40, ст. 5488; 2020, № 52, ст. 8577) следующие изменения</w:t>
      </w:r>
    </w:p>
    <w:p>
      <w:r>
        <w:t>в абзаце первом слово "Пенсии" заменить словами "1. Пенсии"</w:t>
      </w:r>
    </w:p>
    <w:p>
      <w:r>
        <w:t>дополнить пунктом 2 следующего содержания: "2. 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4305; 2017, № 25, ст. 3595; 2020, № 24, ст. 3740; 2021, № 1, ст. 7; 2022, № 1, ст. 16) следующие изменения</w:t>
      </w:r>
    </w:p>
    <w:p>
      <w:r>
        <w:t>часть 17 статьи 33 изложить в следующей редакции: "17.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
        <w:t>дополнить статьей 1018 следующего содержания: "Статья 1018 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
    <w:p>
      <w:r>
        <w:rPr>
          <w:b/>
        </w:rPr>
        <w:t>Статья 5</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2018, № 53, ст. 8406; 2020, № 14, ст. 2028) следующие изменения</w:t>
      </w:r>
    </w:p>
    <w:p>
      <w:r>
        <w:t>в статье 262: а) наименование изложить в следующей редакции: "Статья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 б) абзац первый части 1 изложить в следующей редакции: "1. 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
        <w:t>дополнить статьей 264 следующего содержания: "Статья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 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
    <w:p>
      <w:r>
        <w:rPr>
          <w:b/>
        </w:rPr>
        <w:t>Статья 6</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2013, № 48, ст. 6165; 2014, № 52, ст. 7540; 2015, № 29, ст. 4367; 2018, № 24, ст. 3407; 2019, № 23, ст. 2917; № 52, ст. 7793, 7796; 2020, № 14, ст. 2028; 2022, № 1, ст. 32) следующие изменения</w:t>
      </w:r>
    </w:p>
    <w:p>
      <w:r>
        <w:t>часть 8 статьи 13 после слов "безопасности государства," дополнить словами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
        <w:t>статью 30 дополнить частью 10 следующего содержания: "10. 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
        <w:t>часть 9 статьи 61 после слов "медицинской помощи," дополнить словами "изменение курса иностранной валюты"</w:t>
      </w:r>
    </w:p>
    <w:p>
      <w:r>
        <w:rPr>
          <w:b/>
        </w:rPr>
        <w:t>Статья 7</w:t>
      </w:r>
    </w:p>
    <w:p>
      <w:r>
        <w:t>Внести в статью 38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2015, № 1, ст. 85; № 27, ст. 3951; 2017, № 31, ст. 4765; 2019, № 52, ст. 7799, 7836; 2020, № 13, ст. 1856; № 14, ст. 2028; № 29, ст. 4516; 2021, № 18, ст. 3072; № 24, ст. 4188; № 27, ст. 5142, 5159) следующие изменения</w:t>
      </w:r>
    </w:p>
    <w:p>
      <w:r>
        <w:t>часть 51 после слов "приравненная к ней служба," дополнить словами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
        <w:t>дополнить частью 24 следующего содержания: "24.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
        <w:rPr>
          <w:b/>
        </w:rPr>
        <w:t>Статья 8</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4375; 2016, № 1, ст. 10, 89; № 11, ст. 1493; № 15, ст. 2058; № 27, ст. 4253, 4254, 4298; 2017, № 1, ст. 15, 41; № 9, ст. 1277; № 14, ст. 2004; № 18, ст. 2660; № 24, ст. 3475, 3477; № 31, ст. 4747, 4780; 2018, № 1, ст. 59, 87, 88, 90; № 18, ст. 2578; № 27, ст. 3957; № 31, ст. 4861; № 45, ст. 6848; № 53, ст. 8428, 8444; 2019, № 18, ст. 2194, 2195; № 52, ст. 7767; 2020, № 9, ст. 1119; № 14, ст. 2028, 2037; № 17, ст. 2702; № 24, ст. 3754; № 31, ст. 5008; № 52, ст. 8582; 2021, № 1, ст. 33, 40, 78; № 9, ст. 1467; № 18, ст. 3061; № 27, ст. 5105, 5188; 2022, № 1, ст. 45) следующие изменения</w:t>
      </w:r>
    </w:p>
    <w:p>
      <w:r>
        <w:t>в пункте 1 части 10 статьи 24 слова "пятисот миллионов рублей" заменить словами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
        <w:t>статью 34 дополнить частью 91 следующего содержания: "91.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
        <w:t>в части 1 статьи 93: а) дополнить пунктами 51 и 52 следующего содержания: "51)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
        <w:t>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 б) в пункте 28 слова "один миллион" заменить словами "полтора миллиона"; в) дополнить пунктом 281 следующего содержания: "281)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
        <w:t>статью 112 дополнить частью 651 следующего содержания: "651.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
        <w:rPr>
          <w:b/>
        </w:rPr>
        <w:t>Статья 9</w:t>
      </w:r>
    </w:p>
    <w:p>
      <w:r>
        <w:t>В части 11 статьи 6 Федерального закона от 21 декабря 2013 года № 353-ФЗ "О потребительском кредите (займе)" (Собрание законодательства Российской Федерации, 2013, № 51, ст. 6673; 2014, № 30, ст. 4230; 2017, № 50, ст. 7549; 2018, № 53, ст. 8480; 2021, № 27, ст. 5157, 5171) второе предложение изложить в следующей редакции: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
    <w:p>
      <w:r>
        <w:rPr>
          <w:b/>
        </w:rPr>
        <w:t>Статья 10</w:t>
      </w:r>
    </w:p>
    <w:p>
      <w:r>
        <w:t>Внести в Федеральный закон от 28 декабря 2013 года № 400-ФЗ "О страховых пенсиях" (Собрание законодательства Российской Федерации, 2013, № 52, ст. 6965; 2016, № 22, ст. 3091; № 27, ст. 4183; № 52, ст. 7486; 2018, № 1, ст. 4; № 41, ст. 6190; № 53, ст. 8462; 2019, № 40, ст. 5488) следующие изменения</w:t>
      </w:r>
    </w:p>
    <w:p>
      <w:r>
        <w:t>статью 15 дополнить частью 201 следующего содержания: "201.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w:t>
      </w:r>
    </w:p>
    <w:p>
      <w:r>
        <w:t>статью 16 дополнить частью 8 следующего содержания: "8.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
        <w:rPr>
          <w:b/>
        </w:rPr>
        <w:t>Статья 11</w:t>
      </w:r>
    </w:p>
    <w:p>
      <w:r>
        <w:t>Внести в Федеральный закон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27, ст. 4183; № 52, ст. 7487; 2018, № 53, ст. 8411; 2022, № 1, ст. 35) следующие изменения</w:t>
      </w:r>
    </w:p>
    <w:p>
      <w:r>
        <w:t>подпункт "а" пункта 3 части 1 статьи 11 дополнить словами ", которым может быть в том числе определена информация об участнике свободной экономической зоны, не подлежащая публикации"</w:t>
      </w:r>
    </w:p>
    <w:p>
      <w:r>
        <w:t>в статье 13: а) часть 1 изложить в следующей редакции: "1. 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 б) часть 2 дополнить пунктом 21 следующего содержания: "21)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 в) часть 201 изложить в следующей редакции: "201. 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 г) пункт 2 части 23 изложить в следующей редакции: "2) прекращения деятельности участника свободной экономической зоны в связи с ликвидацией, реорганизацией или исключением юридического лица из единого государственного реестра юридических лиц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уполномоченного Правительством Российской Федерации федерального органа исполнительной власти;"</w:t>
      </w:r>
    </w:p>
    <w:p>
      <w:r>
        <w:rPr>
          <w:b/>
        </w:rPr>
        <w:t>Статья 12</w:t>
      </w:r>
    </w:p>
    <w:p>
      <w:r>
        <w:t>Статью 8 Федерального закона от 23 июня 2016 года № 180-ФЗ "О биомедицинских клеточных продуктах" (Собрание законодательства Российской Федерации, 2016, № 26, ст. 3849) дополнить частью 7 следующего содержания: "7. 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w:t>
      </w:r>
    </w:p>
    <w:p>
      <w:r>
        <w:rPr>
          <w:b/>
        </w:rPr>
        <w:t>Статья 13</w:t>
      </w:r>
    </w:p>
    <w:p>
      <w:r>
        <w:t>Внести в Федеральный закон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следующие изменения</w:t>
      </w:r>
    </w:p>
    <w:p>
      <w:r>
        <w:t>в статье 6: а) в части 1: абзац первый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 в пункте 2 слова "2019 год" заменить словами "год, предшествующий дате обращения с требованием о предоставлении льготного периода"; б) часть 2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 в) в пункте 1 части 9 слова "2019 год" заменить словами "год, предшествующий дате обращения с требованием о предоставлении льготного периода"</w:t>
      </w:r>
    </w:p>
    <w:p>
      <w:r>
        <w:t>в статье 7: а) часть 1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 б) часть 2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
    <w:p>
      <w:r>
        <w:rPr>
          <w:b/>
        </w:rPr>
        <w:t>Статья 14</w:t>
      </w:r>
    </w:p>
    <w:p>
      <w:r>
        <w:t>Внести в статью 4 Федерального закона от 30 декабря 2020 года № 509-ФЗ "О внесении изменений в отдельные законодательные акты Российской Федерации" (Собрание законодательства Российской Федерации, 2021, № 1, ст. 48) следующие изменения</w:t>
      </w:r>
    </w:p>
    <w:p>
      <w:r>
        <w:t>в части 4 цифры "2023" заменить цифрами "2024"</w:t>
      </w:r>
    </w:p>
    <w:p>
      <w:r>
        <w:t>в части 5 цифры "2024" заменить цифрами "2025"</w:t>
      </w:r>
    </w:p>
    <w:p>
      <w:r>
        <w:rPr>
          <w:b/>
        </w:rPr>
        <w:t>Статья 15</w:t>
      </w:r>
    </w:p>
    <w:p>
      <w:r>
        <w:rPr>
          <w:b/>
        </w:rPr>
        <w:t xml:space="preserve">1. </w:t>
      </w:r>
      <w:r>
        <w:t>Установить, что в период до 31 декабря 2022 года включительно Правительство Российской Федерации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вправе устанавливать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
        <w:rPr>
          <w:b/>
        </w:rPr>
        <w:t xml:space="preserve">2. </w:t>
      </w:r>
      <w:r>
        <w:t>Установить,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
        <w:rPr>
          <w:b/>
        </w:rPr>
        <w:t>Статья 16</w:t>
      </w:r>
    </w:p>
    <w:p>
      <w:r>
        <w:rPr>
          <w:b/>
        </w:rPr>
        <w:t xml:space="preserve">1. </w:t>
      </w:r>
      <w:r>
        <w:t>В целях стимулирования создания и развития на территории Российской Федерации производства лекарственных препаратов для медицинского применения или медицинских изделий, которые не имеют российских аналогов, Правительство Российской Федерации вправе принять решение об установлении особенностей лицензирования фармацевтической деятельности, деятельности по производству лекарственных средств,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и случая технического обслуживания медицинских изделий с низкой степенью потенциального риска их применения), а также особенностей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
        <w:rPr>
          <w:b/>
        </w:rPr>
        <w:t xml:space="preserve">2. </w:t>
      </w:r>
      <w:r>
        <w:t>На правоотношения, возникающие в период с 1 марта 2022 года до 1 марта 2023 года включительно в части соблюдения обязательных требований, регламентирующих обращение лекарственных препаратов для медицинского применения, медицинских изделий и биомедицинских клеточных продуктов, не распространяются положения, установленные статьей 3 Федерального закона от 31 июля 2020 года № 247-ФЗ "Об обязательных требованиях в Российской Федерации"</w:t>
      </w:r>
    </w:p>
    <w:p>
      <w:r>
        <w:rPr>
          <w:b/>
        </w:rPr>
        <w:t>Статья 17</w:t>
      </w:r>
    </w:p>
    <w:p>
      <w:r>
        <w:rPr>
          <w:b/>
        </w:rPr>
        <w:t xml:space="preserve">1. </w:t>
      </w:r>
      <w:r>
        <w:t>Установить в 2022 году следующие особенности применения федеральных законов о хозяйственных обществах</w:t>
      </w:r>
    </w:p>
    <w:p>
      <w:r>
        <w:rPr>
          <w:b/>
        </w:rPr>
        <w:t xml:space="preserve">2. </w:t>
      </w:r>
      <w:r>
        <w:t>Дата, предусмотренная пунктом 3 части 1 настоящей статьи, должна быть установлена не позднее чем за 27 дней до даты проведения в 2022 году годового общего собрания акционеров и должна быть указана в сообщении общества, которое должно быть сделано не позднее чем за 35 дней до даты проведения годового общего собрания акционеров и в порядке, предусмотренном для направления сообщения о проведении в 2022 году годового общего собрания акционеров</w:t>
      </w:r>
    </w:p>
    <w:p>
      <w:r>
        <w:rPr>
          <w:b/>
        </w:rPr>
        <w:t xml:space="preserve">3. </w:t>
      </w:r>
      <w:r>
        <w:t>Акционеры, являющиеся в совокупности владельцами не менее чем 2 процентов голосующих акций общества, вправе вносить предусмотренные пунктом 3 части 1 настоящей статьи предложения в дополнение к таким предложениям, ранее поступившим в общество, а акционеры, от которых указанные предложения поступили ранее, вправе вносить новые предложения взамен поступивших</w:t>
      </w:r>
    </w:p>
    <w:p>
      <w:r>
        <w:rPr>
          <w:b/>
        </w:rPr>
        <w:t xml:space="preserve">4. </w:t>
      </w:r>
      <w:r>
        <w:t>Предложения, предусмотренные пунктом 3 части 1 настоящей статьи, должны поступить в акционерное общество в срок, предусмотренный советом директоров (наблюдательным советом) акционерного общества в соответствии с пунктом 3 части 1 настоящей статьи</w:t>
      </w:r>
    </w:p>
    <w:p>
      <w:r>
        <w:rPr>
          <w:b/>
        </w:rPr>
        <w:t xml:space="preserve">5. </w:t>
      </w:r>
      <w:r>
        <w:t>В случае внесения акционерами новых предложений, предусмотренных частью 3 настоящей статьи, ранее поступившие от них предложения считаются отозванными. Совет директоров (наблюдательный совет) акционерного общества обязан рассмотреть поступившие предложения в порядке, установленном пунктом 5 статьи 53 Федерального закона от 26 декабря 1995 года № 208-ФЗ "Об акционерных обществах", в срок не позднее пяти дней с даты, до которой принимаются такие предложения</w:t>
      </w:r>
    </w:p>
    <w:p>
      <w:r>
        <w:rPr>
          <w:b/>
        </w:rPr>
        <w:t xml:space="preserve">1. </w:t>
      </w:r>
      <w:r>
        <w:t>снижение стоимости чистых активов акционерного общества ниже размера его уставного капитала по окончании 2022 года не учитывается для целей применения пунктов 4 и 6 статьи 35 Федерального закона от 26 декабря 1995 года № 208-ФЗ "Об акционерных обществах"</w:t>
      </w:r>
    </w:p>
    <w:p>
      <w:r>
        <w:rPr>
          <w:b/>
        </w:rPr>
        <w:t xml:space="preserve">1. </w:t>
      </w:r>
      <w:r>
        <w:t>снижение (сохранение) стоимости чистых активов общества с ограниченной ответственностью ниже размера его уставного капитала по окончании 2022 года не учитывается для целей применения пункта 4 статьи 30 Федерального закона от 8 февраля 1998 года № 14-ФЗ "Об обществах с ограниченной ответственностью"</w:t>
      </w:r>
    </w:p>
    <w:p>
      <w:r>
        <w:rPr>
          <w:b/>
        </w:rPr>
        <w:t xml:space="preserve">1. </w:t>
      </w:r>
      <w:r>
        <w:t>совет директоров (наблюдательный совет) акционерного общества при подготовке к проведению в 2022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пункте 1 статьи 53 Федерального закона от 26 декабря 1995 года № 208-ФЗ "Об акционерных обществах"</w:t>
      </w:r>
    </w:p>
    <w:p>
      <w:r>
        <w:rPr>
          <w:b/>
        </w:rPr>
        <w:t>Статья 18</w:t>
      </w:r>
    </w:p>
    <w:p>
      <w:r>
        <w:rPr>
          <w:b/>
        </w:rPr>
        <w:t xml:space="preserve">1. </w:t>
      </w:r>
      <w:r>
        <w:t>Установить, что Правительство Российской Федерации в 2022 году вправе принимать решения, предусматривающие</w:t>
      </w:r>
    </w:p>
    <w:p>
      <w:r>
        <w:rPr>
          <w:b/>
        </w:rPr>
        <w:t xml:space="preserve">2. </w:t>
      </w:r>
      <w:r>
        <w:t>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
        <w:rPr>
          <w:b/>
        </w:rPr>
        <w:t xml:space="preserve">1. </w:t>
      </w:r>
      <w:r>
        <w:t>особенности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
        <w:rPr>
          <w:b/>
        </w:rPr>
        <w:t xml:space="preserve">1. </w:t>
      </w:r>
      <w:r>
        <w:t>особенности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31 июля 2020 года № 248-ФЗ "О государственном контроле (надзоре) и муниципальном контроле в Российской Федерации", в том числе в части введения моратория на проведение проверок, контрольных (надзорных) мероприятий</w:t>
      </w:r>
    </w:p>
    <w:p>
      <w:r>
        <w:rPr>
          <w:b/>
        </w:rPr>
        <w:t xml:space="preserve">1. </w:t>
      </w:r>
      <w:r>
        <w:t>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
        <w:rPr>
          <w:b/>
        </w:rPr>
        <w:t xml:space="preserve">1. </w:t>
      </w:r>
      <w:r>
        <w:t>установление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
        <w:rPr>
          <w:b/>
        </w:rPr>
        <w:t xml:space="preserve">1. </w:t>
      </w:r>
      <w:r>
        <w:t>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
        <w:rPr>
          <w:b/>
        </w:rPr>
        <w:t xml:space="preserve">1. </w:t>
      </w:r>
      <w:r>
        <w:t>особенности передачи объекта долевого строительства участнику долевого строительства</w:t>
      </w:r>
    </w:p>
    <w:p>
      <w:r>
        <w:rPr>
          <w:b/>
        </w:rPr>
        <w:t xml:space="preserve">1. </w:t>
      </w:r>
      <w:r>
        <w:t>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 </w:t>
      </w:r>
      <w:r>
        <w:t>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При этом срок проведения такой экспертизы не может превышать 14 рабочих дней, если иное не установлено Правительством Российской Федерации</w:t>
      </w:r>
    </w:p>
    <w:p>
      <w:r>
        <w:rPr>
          <w:b/>
        </w:rPr>
        <w:t xml:space="preserve">1. </w:t>
      </w:r>
      <w:r>
        <w:t>особенности и случаи проведения государственной экспертизы проектной документации, 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
        <w:rPr>
          <w:b/>
        </w:rPr>
        <w:t xml:space="preserve">1. </w:t>
      </w:r>
      <w:r>
        <w:t>особенности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
        <w:rPr>
          <w:b/>
        </w:rPr>
        <w:t xml:space="preserve">1. </w:t>
      </w:r>
      <w:r>
        <w:t>установление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
        <w:rPr>
          <w:b/>
        </w:rPr>
        <w:t xml:space="preserve">1. </w:t>
      </w:r>
      <w:r>
        <w:t>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
    <w:p>
      <w:r>
        <w:rPr>
          <w:b/>
        </w:rPr>
        <w:t xml:space="preserve">1. </w:t>
      </w:r>
      <w:r>
        <w:t>перечень товаров (групп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
        <w:rPr>
          <w:b/>
        </w:rPr>
        <w:t xml:space="preserve">1. </w:t>
      </w:r>
      <w:r>
        <w:t>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занятости населения с учетом мнения Российской трехсторонней комиссии по регулированию социально-трудовых отношений</w:t>
      </w:r>
    </w:p>
    <w:p>
      <w:r>
        <w:rPr>
          <w:b/>
        </w:rPr>
        <w:t xml:space="preserve">1. </w:t>
      </w:r>
      <w:r>
        <w:t>особенности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
        <w:rPr>
          <w:b/>
        </w:rPr>
        <w:t xml:space="preserve">1. </w:t>
      </w:r>
      <w:r>
        <w:t>особенности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
        <w:rPr>
          <w:b/>
        </w:rPr>
        <w:t xml:space="preserve">1. </w:t>
      </w:r>
      <w:r>
        <w:t>особенности исчисления и установления величины прожиточного минимума в целом по Российской Федерации на душу населения и по основным социально-демографическим группам населения, в том числе для определения размера федеральной социальной доплаты к пенсии, предусмотренной Федеральным законом от 17 июля 1999 года № 178-ФЗ "О государственной социальной помощи"</w:t>
      </w:r>
    </w:p>
    <w:p>
      <w:r>
        <w:rPr>
          <w:b/>
        </w:rPr>
        <w:t xml:space="preserve">1. </w:t>
      </w:r>
      <w:r>
        <w:t>особенности исчисления и установления минимального размера оплаты труда, предусмотренного Федеральным законом от 19 июня 2000 года № 82-ФЗ "О минимальном размере оплаты труда"</w:t>
      </w:r>
    </w:p>
    <w:p>
      <w:r>
        <w:rPr>
          <w:b/>
        </w:rPr>
        <w:t xml:space="preserve">1. </w:t>
      </w:r>
      <w:r>
        <w:t>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в том числе:</w:t>
      </w:r>
    </w:p>
    <w:p>
      <w:r>
        <w:rPr>
          <w:b/>
        </w:rPr>
        <w:t xml:space="preserve">1. </w:t>
      </w:r>
      <w:r>
        <w:t>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
        <w:rPr>
          <w:b/>
        </w:rPr>
        <w:t xml:space="preserve">1. </w:t>
      </w:r>
      <w:r>
        <w:t>особенности осуществления деятельности в связи с созданием объектов туристской индустрии и обеспечивающей их инфраструктуры</w:t>
      </w:r>
    </w:p>
    <w:p>
      <w:r>
        <w:rPr>
          <w:b/>
        </w:rPr>
        <w:t xml:space="preserve">1. </w:t>
      </w:r>
      <w:r>
        <w:t>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
        <w:rPr>
          <w:b/>
        </w:rPr>
        <w:t xml:space="preserve">1. </w:t>
      </w:r>
      <w:r>
        <w:t>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
        <w:rPr>
          <w:b/>
        </w:rPr>
        <w:t xml:space="preserve">1. </w:t>
      </w:r>
      <w:r>
        <w:t>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
        <w:rPr>
          <w:b/>
        </w:rPr>
        <w:t xml:space="preserve">1. </w:t>
      </w:r>
      <w:r>
        <w:t>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
        <w:rPr>
          <w:b/>
        </w:rPr>
        <w:t xml:space="preserve">1. </w:t>
      </w:r>
      <w:r>
        <w:t>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
        <w:rPr>
          <w:b/>
        </w:rPr>
        <w:t xml:space="preserve">1. </w:t>
      </w:r>
      <w:r>
        <w:t>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деятельности обладателем разрешения</w:t>
      </w:r>
    </w:p>
    <w:p>
      <w:r>
        <w:rPr>
          <w:b/>
        </w:rPr>
        <w:t xml:space="preserve">1. </w:t>
      </w:r>
      <w:r>
        <w:t>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
        <w:rPr>
          <w:b/>
        </w:rPr>
        <w:t xml:space="preserve">1. </w:t>
      </w:r>
      <w:r>
        <w:t>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w:t>
      </w:r>
    </w:p>
    <w:p>
      <w:r>
        <w:rPr>
          <w:b/>
        </w:rPr>
        <w:t xml:space="preserve">1. </w:t>
      </w:r>
      <w:r>
        <w:t>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
        <w:rPr>
          <w:b/>
        </w:rPr>
        <w:t xml:space="preserve">1. </w:t>
      </w:r>
      <w:r>
        <w:t>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
        <w:rPr>
          <w:b/>
        </w:rPr>
        <w:t>Статья 19</w:t>
      </w:r>
    </w:p>
    <w:p>
      <w:r>
        <w:t>Установить, что Правительство Российской Федерации в 2022 году вправе принимать решения, предусматривающие для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
        <w:rPr>
          <w:b/>
        </w:rPr>
        <w:t>Статья 20</w:t>
      </w:r>
    </w:p>
    <w:p>
      <w:r>
        <w:t>Установить, что до 31 декабря 2022 года</w:t>
      </w:r>
    </w:p>
    <w:p>
      <w:r>
        <w:t>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кредитными и некредитными финансовыми организациями, превышающие сроки раскрытия, составления и представления соответствующих отчетности и информации, установленные федеральными законами и нормативными актами Банка России</w:t>
      </w:r>
    </w:p>
    <w:p>
      <w:r>
        <w:t>решением Совета директоров Банка России могут быть установлены требования к деятельности кредитных и некредитных финансовых организаций, в том числе значения нормативов и показателей, требования к составу и структуре активов, порядку расчета и размеру собственных средств (капитала), отличные от соответствующих требований, установленных федеральными законами и нормативными актами Банка России</w:t>
      </w:r>
    </w:p>
    <w:p>
      <w:r>
        <w:t>положения пункта 3 статьи 8 Федерального закона от 25 апреля 2002 года № 40-ФЗ "Об обязательном страховании гражданской ответственности владельцев транспортных средств" и части 5 статьи 7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о сроке действия установленных Банком России страховых тарифов (предельных размеров базовых ставок страховых тарифов) не подлежат применению</w:t>
      </w:r>
    </w:p>
    <w:p>
      <w:r>
        <w:t>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 в течение 10 дней со дня принятия этих решений</w:t>
      </w:r>
    </w:p>
    <w:p>
      <w:r>
        <w:t>в целях обеспечения финансовой стабильности Банк России на срок не более шести месяцев вправе решением Комитета банковского надзора или Комитета финансового надзора приостанавливать (ограничивать) проведение кредитными и некредитными финансовыми организациями операций и сделок, устанавливать нормативы, ограничивающие риски, на индивидуальной основе, вводить иные показатели деятельности кредитных и некредитных финансовых организаций, в том числе на индивидуальной основе</w:t>
      </w:r>
    </w:p>
    <w:p>
      <w:r>
        <w:rPr>
          <w:b/>
        </w:rPr>
        <w:t>Статья 21</w:t>
      </w:r>
    </w:p>
    <w:p>
      <w:r>
        <w:rPr>
          <w:b/>
        </w:rPr>
        <w:t xml:space="preserve">1. </w:t>
      </w:r>
      <w:r>
        <w:t>Публичные акционерные общества вправе до 31 декабря 2022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
        <w:rPr>
          <w:b/>
        </w:rPr>
        <w:t xml:space="preserve">2. </w:t>
      </w:r>
      <w:r>
        <w:t>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частью 1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частью третьей статьи 769 Федерального закона от 10 июля 2002 года № 86-ФЗ "О Центральном банке Российской Федерации (Банке России)"</w:t>
      </w:r>
    </w:p>
    <w:p>
      <w:r>
        <w:rPr>
          <w:b/>
        </w:rPr>
        <w:t xml:space="preserve">3. </w:t>
      </w:r>
      <w:r>
        <w:t>Положения пунктов 4, 5, 7, 8 статьи 72 Федерального закона от 26 декабря 1995 года № 208-ФЗ "Об акционерных обществах" не применяются к публичным акционерным обществам, осуществляющим приобретение размещенных ими акций в соответствии с частью 1 настоящей статьей</w:t>
      </w:r>
    </w:p>
    <w:p>
      <w:r>
        <w:rPr>
          <w:b/>
        </w:rPr>
        <w:t xml:space="preserve">4. </w:t>
      </w:r>
      <w:r>
        <w:t>Кредитные организации вправе до 31 декабря 2022 года открывать банковский счет (вклад) в иностранной валюте клиенту - физическому лицу без личного присутствия открывающего счет (вклад) клиента - физического лица либо его представителя в случае перевода этим физическим лицом денежных средств в иностранной валюте со своего банковского счета (вклада), открытого в кредитной организации, подвергшейся недружественным действиям иностранных государств, в кредитную организацию, открывающую счет (вклад), если одновременно с осуществлением такого перевода кредитная организация, осуществляющая перевод денежных средств, передает другой кредитной организации сведения, установленные при проведении идентификации такого клиента - физического лица. Указанный перевод денежных средств осуществляется кредитной организацией после получения согласия в письменной форме клиента - физического лица на передачу и использование сведений о таком физическом лице, установленных при проведении его идентификации, кредитной организации в целях заключения с ним договора банковского счета (вклада)</w:t>
      </w:r>
    </w:p>
    <w:p>
      <w:r>
        <w:rPr>
          <w:b/>
        </w:rPr>
        <w:t xml:space="preserve">5. </w:t>
      </w:r>
      <w:r>
        <w:t>Способ и форма передачи сведений, предусмотренных настоящей статьей, определяются кредитными организациями</w:t>
      </w:r>
    </w:p>
    <w:p>
      <w:r>
        <w:rPr>
          <w:b/>
        </w:rPr>
        <w:t xml:space="preserve">1. </w:t>
      </w:r>
      <w:r>
        <w:t>приобретаемые акции допущены к организованным торгам</w:t>
      </w:r>
    </w:p>
    <w:p>
      <w:r>
        <w:rPr>
          <w:b/>
        </w:rPr>
        <w:t xml:space="preserve">1. </w:t>
      </w:r>
      <w:r>
        <w:t>средневзвешенная цена приобретаемых акций, определенная за любые три месяца начиная с 1 февраля 2022 года, снизилась по сравнению со средневзвешенной ценой таких акций, определенной за три месяца начиная с 1 января 2021 года, на 20 и более процентов</w:t>
      </w:r>
    </w:p>
    <w:p>
      <w:r>
        <w:rPr>
          <w:b/>
        </w:rPr>
        <w:t xml:space="preserve">1. </w:t>
      </w:r>
      <w:r>
        <w:t>значение основного индекса фондового рынка, рассчитанное организатором торговли за любые три месяца начиная с 1 февраля 2022 года, снизилось по сравнению со значением такого индекса, рассчитанным организатором торговли за три месяца начиная с 1 января 2021 года, на 20 и более процентов</w:t>
      </w:r>
    </w:p>
    <w:p>
      <w:r>
        <w:rPr>
          <w:b/>
        </w:rPr>
        <w:t xml:space="preserve">1. </w:t>
      </w:r>
      <w:r>
        <w:t>акции приобретаются на организованных торгах на основании заявок, адресованных неограниченному кругу участников торгов</w:t>
      </w:r>
    </w:p>
    <w:p>
      <w:r>
        <w:rPr>
          <w:b/>
        </w:rPr>
        <w:t xml:space="preserve">1. </w:t>
      </w:r>
      <w:r>
        <w:t>приобретение акций осуществляется брокером по поручению публичного акционерного общества</w:t>
      </w:r>
    </w:p>
    <w:p>
      <w:r>
        <w:rPr>
          <w:b/>
        </w:rPr>
        <w:t xml:space="preserve">1. </w:t>
      </w:r>
      <w:r>
        <w:t>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которым определены категории (типы) приобретаемых акций, количество приобретаемых акций каждой категории (типа), срок, в течение которого осуществляется приобретение акций и который должен истекать не позднее 31 декабря 2022 года.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или раскрываться в установленный таким решением срок</w:t>
      </w:r>
    </w:p>
    <w:p>
      <w:r>
        <w:rPr>
          <w:b/>
        </w:rPr>
        <w:t>Статья 22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6 и 7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 вступления в силу настоящего Федерального закона</w:t>
      </w:r>
    </w:p>
    <w:p>
      <w:r>
        <w:rPr>
          <w:b/>
        </w:rPr>
        <w:t xml:space="preserve">3. </w:t>
      </w:r>
      <w:r>
        <w:t>Пункты 51, 52 и 281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до истечения двух лет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