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и отдельные законодательные акты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2004, № 35, ст. 3607; № 45, ст. 4377; 2006, № 30, ст. 3290; 2007, № 50, ст. 6245; 2009, № 29, ст. 3616; 2010, № 30, ст. 4014; 2011, № 7, ст. 901; 2012, № 31, ст. 4318; 2013, № 23, ст. 2882; 2014, № 30, ст. 4254; 2015, № 29, ст. 4380; 2016, № 1, ст. 82; № 27, ст. 4224; 2021, № 24, ст. 4226; № 27, ст. 5159; 2022, № 1, ст. 57) следующие изменения: 1) абзац первый пункта 3 статьи 8 после слов "авиационные работы," дополнить словами "заправку гражданских воздушных судов авиационными горюче-смазочными материалами и (или) обработку специальными жидкостями,"; 2) дополнить статьей 82 следующего содержания: "Статья 82. Сертификационные центры и испытательные лаборатории 1. Проведение обязательной сертификации, предусмотренное пунктом 2 статьи 8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требования к сертификационным центрам и испытательным лабораториям, порядок аккредитации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перечень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w:t>
      </w:r>
    </w:p>
    <w:p>
      <w:r>
        <w:rPr>
          <w:b/>
        </w:rPr>
        <w:t xml:space="preserve">2. </w:t>
      </w:r>
      <w:r>
        <w:t>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а также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или индивидуальным предпринимателем, выполняющими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
        <w:rPr>
          <w:b/>
        </w:rPr>
        <w:t xml:space="preserve">3. </w:t>
      </w:r>
      <w:r>
        <w:t>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r>
        <w:rPr>
          <w:b/>
        </w:rPr>
        <w:t xml:space="preserve">4. </w:t>
      </w:r>
      <w:r>
        <w:t>Действие требований, установленных пунктами 1, 2 и 3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5. </w:t>
      </w:r>
      <w:r>
        <w:t>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bis Конвенции о международной гражданской авиации</w:t>
      </w:r>
    </w:p>
    <w:p>
      <w:r>
        <w:rPr>
          <w:b/>
        </w:rPr>
        <w:t xml:space="preserve">6. </w:t>
      </w:r>
      <w:r>
        <w:t>Допуск к эксплуатации государственных воздушных судов осуществляется в порядке, установленном Правительством Российской Федерации</w:t>
      </w:r>
    </w:p>
    <w:p>
      <w:r>
        <w:rPr>
          <w:b/>
        </w:rPr>
        <w:t xml:space="preserve">7. </w:t>
      </w:r>
      <w:r>
        <w:t>Порядок подтверждения соответствия конструкции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правилами</w:t>
      </w:r>
    </w:p>
    <w:p>
      <w:r>
        <w:rPr>
          <w:b/>
        </w:rPr>
        <w:t xml:space="preserve">8. </w:t>
      </w:r>
      <w:r>
        <w:t>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w:t>
      </w:r>
    </w:p>
    <w:p>
      <w:r>
        <w:rPr>
          <w:b/>
        </w:rPr>
        <w:t xml:space="preserve">3. </w:t>
      </w:r>
      <w:r>
        <w:t>в пункте 32 статьи 33 слова "от 0,25 килограмма" заменить словами "от 0,15 килограмма"</w:t>
      </w:r>
    </w:p>
    <w:p>
      <w:r>
        <w:rPr>
          <w:b/>
        </w:rPr>
        <w:t xml:space="preserve">3. </w:t>
      </w:r>
      <w:r>
        <w:t>в пункте 22 статьи 34 слова "от 0,25 килограмма" заменить словами "от 0,15 килограмма"</w:t>
      </w:r>
    </w:p>
    <w:p>
      <w:r>
        <w:rPr>
          <w:b/>
        </w:rPr>
        <w:t xml:space="preserve">3. </w:t>
      </w:r>
      <w:r>
        <w:t>статью 36 изложить в следующей редакции: "Статья 36. Допуск к эксплуатации гражданских воздушных судов и государственных воздушных судов 1. К эксплуатации при наличии сертификата летной годности допускаются:</w:t>
      </w:r>
    </w:p>
    <w:p>
      <w:r>
        <w:rPr>
          <w:b/>
        </w:rPr>
        <w:t xml:space="preserve">3. </w:t>
      </w:r>
      <w:r>
        <w:t>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
        <w:rPr>
          <w:b/>
        </w:rPr>
        <w:t xml:space="preserve">3. </w:t>
      </w:r>
      <w:r>
        <w:t>беспилотные гражданские воздушные суда с максимальной взлетной массой более 30 килограммов</w:t>
      </w:r>
    </w:p>
    <w:p>
      <w:r>
        <w:rPr>
          <w:b/>
        </w:rPr>
        <w:t xml:space="preserve">8. </w:t>
      </w:r>
      <w:r>
        <w:t>пункт 11 статьи 53 после слов "правила выдачи" дополнить словами ", приостановления действия и аннулирования"</w:t>
      </w:r>
    </w:p>
    <w:p>
      <w:r>
        <w:rPr>
          <w:b/>
        </w:rPr>
        <w:t>Статья 2</w:t>
      </w:r>
    </w:p>
    <w:p>
      <w:r>
        <w:t>Пункт 2 статьи 6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27, ст. 2700; 2004, № 35, ст. 3607; 2021, № 24, ст. 4211) изложить в следующей редакции: "2.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 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w:t>
      </w:r>
    </w:p>
    <w:p>
      <w:r>
        <w:rPr>
          <w:b/>
        </w:rPr>
        <w:t>Статья 3</w:t>
      </w:r>
    </w:p>
    <w:p>
      <w:r>
        <w:t>Главу VI Федерального закона от 29 октября 1998 года № 164-ФЗ "О финансовой аренде (лизинге)" (Собрание законодательства Российской Федерации, 1998, № 44, ст. 5394; 2002, № 5, ст. 376) дополнить статьей 381 следующего содержания: "Статья 381. Особенности применения отдельных положений настоящего Федерального закона Положения настоящего Федерального закона в части расторжения и изменения условий договоров финансовой аренды (лизинга) с иностранными юридическими лицами в ситуации применения специальных экономических мер в связи с недружественными действиями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обеспечения ее финансовой стабильности применяются с учетом порядка расторжения и изменения условий договоров финансовой аренды (лизинга) с иностранными юридическими лицами, включая изменение порядка расчетов и возврата имущества иностранных юридических лиц по таким договорам и определение группы товаров, по которым применение такого порядка является обязательным.".</w:t>
      </w:r>
    </w:p>
    <w:p>
      <w:r>
        <w:rPr>
          <w:b/>
        </w:rPr>
        <w:t>Статья 4</w:t>
      </w:r>
    </w:p>
    <w:p>
      <w:r>
        <w:t>Статью 231 Кодекса внутреннего водного транспорта Российской Федерации (Собрание законодательства Российской Федерации, 2001, № 11, ст. 1001; 2011, № 29, ст. 4294; 2012, № 18, ст. 2128) дополнить пунктом 4 следующего содержания: "4. В отношении судов смешанного (река - море) плавания,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и прохода по их внутренним водным путям в отношении судов смешанного (река - море) плавания,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 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w:t>
      </w:r>
    </w:p>
    <w:p>
      <w:r>
        <w:rPr>
          <w:b/>
        </w:rPr>
        <w:t>Статья 5</w:t>
      </w:r>
    </w:p>
    <w:p>
      <w:r>
        <w:t>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2009, № 1, ст. 21; 2011, № 30, ст. 4596; 2014, № 49, ст. 6928; 2019, № 30, ст. 4135; 2020, № 50, ст. 8074) следующие изменения</w:t>
      </w:r>
    </w:p>
    <w:p>
      <w:r>
        <w:t>в пункте 1 статьи 3: а) абзац второй после слов "актами Правительства Российской Федерации," дополнить словами "нормативными документами (актами) Совета по железнодорожному транспорту государств - участников Содружества Независимых Государств,"; б) дополнить абзацем следующего содержания: "Особенности применения на территории Российской Федерации нормативных документов (актов) Совета по железнодорожному транспорту государств - участников Содружества Независимых Государств, регулирующих деятельность в области железнодорожного транспорта, а также нормативных документов международных организаций в области железнодорожного транспорта с учетом требований, установленных правом Евразийского экономического союза,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t>статью 17 дополнить пунктом 11 следующего содержания: "11. Предназначенные для перевозок пассажиров, грузов, багажа,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 осуществляющим функции по реализации государственной политики, оказанию государственных услуг и управлению государственным имуществом в сфере железнодорожного транспорта, в соответствии с правилами пономерного учета железнодорожного подвижного состава и контейнеров, устанавливаемыми указанным федеральным органом исполнительной власти."</w:t>
      </w:r>
    </w:p>
    <w:p>
      <w:r>
        <w:rPr>
          <w:b/>
        </w:rPr>
        <w:t>Статья 6</w:t>
      </w:r>
    </w:p>
    <w:p>
      <w:r>
        <w:t>Внести в статью 13 Федерального закона от 9 февраля 2007 года № 16-ФЗ "О транспортной безопасности" (Собрание законодательства Российской Федерации, 2007, № 7, ст. 837; 2019, № 31, ст. 4429) следующие изменения</w:t>
      </w:r>
    </w:p>
    <w:p>
      <w:r>
        <w:t>пункт 1 части 2 изложить в следующей редакции: "1) объектов транспортной инфраструктуры дорожного хозяйства, расположенных на автомобильных дорогах федерального значения, объектов транспортной инфраструктуры воздушного транспорта, обеспечение транспортной безопасности которых осуществляется организациями, находящимися в ведении федеральных органов исполнительной власти,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 судоходных гидротехнических сооружений, которые расположены на внутренних водных путях, при условии, что оснащение указанных объектов и сооружений техническими средствами обеспечения транспортной безопасности осуществляется поэтапно в сроки, установленные Правительством Российской Федерации;"</w:t>
      </w:r>
    </w:p>
    <w:p>
      <w:r>
        <w:t>часть 4 изложить в следующей редакции: "4. Технические средства обеспечения транспортной безопасности, установленные и используемые субъектами транспортной инфраструктуры, перевозчиками на объектах транспортной инфраструктуры и транспортных средствах до определения требований и порядка, предусмотренных частью 8 статьи 122 настоящего Федерального закона, подлежат сертификации до 31 декабря 2023 года."</w:t>
      </w:r>
    </w:p>
    <w:p>
      <w:r>
        <w:rPr>
          <w:b/>
        </w:rPr>
        <w:t>Статья 7</w:t>
      </w:r>
    </w:p>
    <w:p>
      <w:r>
        <w:t>Внести в Федеральный закон от 14 марта 2009 года № 31-ФЗ "О государственной регистрации прав на воздушные суда и сделок с ними" (Собрание законодательства Российской Федерации, 2009, № 11, ст. 1260; 2011, № 27, ст. 3880) следующие изменения</w:t>
      </w:r>
    </w:p>
    <w:p>
      <w:r>
        <w:t>в статье 12 слова "месячный срок" заменить словами "десятидневный срок"</w:t>
      </w:r>
    </w:p>
    <w:p>
      <w:r>
        <w:t>часть 2 статьи 13 изложить в следующей редакции: "2. Заявление и прилагаемые к нему документы представляются в орган государственной регистрации прав на воздушные суда:</w:t>
      </w:r>
    </w:p>
    <w:p>
      <w:r>
        <w:t>в форме документов на бумажном носителе - посредством личного обращения в орган государственной регистрации прав на воздушные суда или посредством почтового отправления с объявленной ценностью при его пересылке, описью вложения и уведомлением о вручении</w:t>
      </w:r>
    </w:p>
    <w:p>
      <w:r>
        <w:t>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государственной регистрации прав на воздушные суда."</w:t>
      </w:r>
    </w:p>
    <w:p>
      <w:r>
        <w:rPr>
          <w:b/>
        </w:rPr>
        <w:t>Статья 8</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2020, № 24, ст. 3740; 2021, № 50, ст. 8408) следующие изменения: 1) статью 4 дополнить частью 101 следующего содержания: "101. Юридическое лицо, индивидуальный предприниматель, уполномоченный участник договора простого товарищества, которым выданы карты маршрута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 2) часть 1 статьи 8 дополнить словами ", или в случае предусмотренного частью 7 статьи 39 настоящего Федерального закона отказа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 3) статью 14 дополнить частями 9 - 12 следующего содержания: "9.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
        <w:rPr>
          <w:b/>
        </w:rPr>
        <w:t xml:space="preserve">10. </w:t>
      </w:r>
      <w:r>
        <w:t>Штраф, предусмотренный частью 9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r>
        <w:rPr>
          <w:b/>
        </w:rPr>
        <w:t xml:space="preserve">11. </w:t>
      </w:r>
      <w:r>
        <w:t>Подрядчик выплачивает заказчику иные штрафы помимо штрафа, предусмотренного частью 9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
        <w:rPr>
          <w:b/>
        </w:rPr>
        <w:t xml:space="preserve">12. </w:t>
      </w:r>
      <w:r>
        <w:t>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
        <w:rPr>
          <w:b/>
        </w:rPr>
        <w:t xml:space="preserve">12. </w:t>
      </w:r>
      <w:r>
        <w:t>статью 18 дополнить частью 11 следующего содержания: "11.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
        <w:rPr>
          <w:b/>
        </w:rPr>
        <w:t xml:space="preserve">12. </w:t>
      </w:r>
      <w:r>
        <w:t>в статье 341:</w:t>
      </w:r>
    </w:p>
    <w:p>
      <w:r>
        <w:rPr>
          <w:b/>
        </w:rPr>
        <w:t xml:space="preserve">12. </w:t>
      </w:r>
      <w:r>
        <w:t>в части 1: в пункте 1 слова "в отношении данного маршрута включены в реестр маршрутов регулярных перевозок" заменить словами "включены в карту данного маршрута регулярных перевозок"; в пункте 2 слова "в отношении данного маршрута включены в реестр маршрутов регулярных перевозок" заменить словами "включены в карту данного маршрута регулярных перевозок"</w:t>
      </w:r>
    </w:p>
    <w:p>
      <w:r>
        <w:rPr>
          <w:b/>
        </w:rPr>
        <w:t xml:space="preserve">12. </w:t>
      </w:r>
      <w:r>
        <w:t>в части 2 слова "в отношении данного маршрута включены в реестр маршрутов регулярных перевозок" заменить словами "включены в карту данного маршрута регулярных перевозок"</w:t>
      </w:r>
    </w:p>
    <w:p>
      <w:r>
        <w:rPr>
          <w:b/>
        </w:rPr>
        <w:t>Статья 9</w:t>
      </w:r>
    </w:p>
    <w:p>
      <w:r>
        <w:t>Внести в Федеральный закон от 2 июля 2021 года № 337-ФЗ "О внесении изменений в статьи 2 и 6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и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2021, № 27, ст. 5165) следующие изменения</w:t>
      </w:r>
    </w:p>
    <w:p>
      <w:r>
        <w:t>в пункте 3 статьи 2: а) абзац сто третий изложить в следующей редакции: "6)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б) в абзаце сто двадцать четвертом слова "пунктом 1" заменить словами "пунктом 4"</w:t>
      </w:r>
    </w:p>
    <w:p>
      <w:r>
        <w:t>в части 3 статьи 4 слова "сентября 2022" заменить словами "марта 2023"</w:t>
      </w:r>
    </w:p>
    <w:p>
      <w:r>
        <w:rPr>
          <w:b/>
        </w:rPr>
        <w:t>Статья 10</w:t>
      </w:r>
    </w:p>
    <w:p>
      <w:r>
        <w:t>Внести в статью 1 Федерального закона от 30 декабря 2021 года № 488-ФЗ "О внесении изменений в Воздушный кодекс Российской Федерации" (Собрание законодательства Российской Федерации, 2022, № 1, ст. 57) следующие изменения</w:t>
      </w:r>
    </w:p>
    <w:p>
      <w:r>
        <w:t>пункт 1 изложить в следующей редакции: "1) в статье 8: а) пункт 1 дополнить подпунктом 4 следующего содержания: "4) деятельность юридических лиц, осуществляющих разработку и изготовление подлежащей обязательной сертификации в соответствии с подпунктами 2, 21 и 3 настоящего пункта авиационной техники, за исключением легких, сверхлегких гражданских воздушных судов нетиповой конструкции, не осуществляющих коммерческих воздушных перевозок и авиационных работ, а также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б) в абзаце первом пункта 3 слова "разработку и изготовление воздушных судов и другой авиационной техники," исключить, слова "гражданских воздушных судов," заменить словами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
        <w:t>в абзаце четвертом пункта 4 слова "федеральными авиационными правилами" заменить словами "нормами летной годности, которые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и обязательны для применения федеральными органами исполнительной власти, а также юридическими и физическими лицами, участвующими в разработке, испытаниях, серийном производстве, приемке, эксплуатации, ремонте и техническом обслуживании беспилотных авиационных систем и (или) их элементов, гражданских воздушных судов, авиационных двигателей, воздушных винтов", дополнить предложением следующего содержания: "Указанные нормы летной годности не подлежат государственной регистрации."</w:t>
      </w:r>
    </w:p>
    <w:p>
      <w:r>
        <w:t>в абзаце первом пункта 8 слова "пункт 1" заменить словами "абзац первый пункта 1"</w:t>
      </w:r>
    </w:p>
    <w:p>
      <w:r>
        <w:rPr>
          <w:b/>
        </w:rPr>
        <w:t>Статья 11</w:t>
      </w:r>
    </w:p>
    <w:p>
      <w:r>
        <w:rPr>
          <w:b/>
        </w:rPr>
        <w:t xml:space="preserve">1. </w:t>
      </w:r>
      <w:r>
        <w:t>Установить, что Правительство Российской Федерации в 2022 - 2026 годах вправе принимать решения, предусматривающие: (В редакции федеральных законов от 19.12.2022 № 519-ФЗ, от 26.12.2024 № 493-ФЗ) 1) особенности исполнения договоров финансовой аренды (лизинга), договоров аренды иностранных воздушных судов, используемых для полетов лицами, указанными в пункте 3 статьи 61 Воздушного кодекса Российской Федерации, авиационных двигателей и договоров финансовой аренды (лизинга) транспортных средств автомобильного транспорта и городского наземного электрического транспорта;</w:t>
      </w:r>
    </w:p>
    <w:p>
      <w:r>
        <w:rPr>
          <w:b/>
        </w:rPr>
        <w:t xml:space="preserve">2. </w:t>
      </w:r>
      <w:r>
        <w:t>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
        <w:rPr>
          <w:b/>
        </w:rPr>
        <w:t xml:space="preserve">1. </w:t>
      </w:r>
      <w:r>
        <w:t>особенности государственной регистрации предназначенных для выполнения полетов гражданских воздушных судов в Государственном реестре гражданских воздушных судов Российской Федерации и особенности государственной регистрации прав на воздушные суда и сделок с ними</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Пункт 4 статьи 1 настоящего Федерального закона вступает в силу с 1 сентября 2022 года</w:t>
      </w:r>
    </w:p>
    <w:p>
      <w:r>
        <w:rPr>
          <w:b/>
        </w:rPr>
        <w:t xml:space="preserve">3. </w:t>
      </w:r>
      <w:r>
        <w:t>Пункт 1 статьи 1 и абзац четвертый пункта 2 статьи 7 настоящего Федерального закона вступают в силу с 1 марта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