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четвертую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четвертую Гражданского кодекса Российской Федерации (Собрание законодательства Российской Федерации, 2006, № 52, ст. 5496; 2014, № 11, ст. 1100; 2019, № 30, ст. 4132; 2020, № 30, ст. 4743) следующие изменения</w:t>
      </w:r>
    </w:p>
    <w:p>
      <w:r>
        <w:t>в пункте 5 статьи 1262 слова "без договора подлежит" заменить словами "без договора и залог исключительного права на зарегистрированные программу для ЭВМ или базу данных подлежат"</w:t>
      </w:r>
    </w:p>
    <w:p>
      <w:r>
        <w:t>в статье 1477: а) в пункте 1 слова "юридических лиц или индивидуальных предпринимателей" исключить; б) в пункте 2 слова "юридическими лицами либо индивидуальными предпринимателями" и слово "ими" исключить</w:t>
      </w:r>
    </w:p>
    <w:p>
      <w:r>
        <w:t>статью 1478 признать утратившей силу</w:t>
      </w:r>
    </w:p>
    <w:p>
      <w:r>
        <w:t>в пункте 1 статьи 1492 слова "индивидуальным предпринимателем" заменить словом "гражданином"</w:t>
      </w:r>
    </w:p>
    <w:p>
      <w:r>
        <w:t>в пункте 2 статьи 1512: а) подпункт 3 признать утратившим силу; б) в абзаце девятом цифры "1 - 3" заменить словами "1 и 2"</w:t>
      </w:r>
    </w:p>
    <w:p>
      <w:r>
        <w:t>в пункте 2 статьи 1513 цифры "1 - 4" заменить цифрами "1, 2, 4"</w:t>
      </w:r>
    </w:p>
    <w:p>
      <w:r>
        <w:t>в подпункте 4 пункта 1 статьи 1514 слова "регистрацией прекращения гражданином деятельности в качестве индивидуального предпринимателя-правообладателя" заменить словами "со смертью гражданина-правообладателя, если отсутствуют основания для универсального правопреемства (наследование, реорганизация юридического лица)"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года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