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 силу абзаца двадцать седьмого пункта 2 статьи 56 Бюджетного кодекса Российской Федерации</w:t>
      </w:r>
    </w:p>
    <w:p>
      <w:r>
        <w:rPr>
          <w:b/>
        </w:rPr>
        <w:t>Статья 1</w:t>
      </w:r>
    </w:p>
    <w:p>
      <w:r>
        <w:t>Абзац двадцать седьмой пункта 2 статьи 56 Бюджетного кодекса Российской Федерации (Собрание законодательства Российской Федерации, 1998, № 31, ст. 3823) признать утратившим силу.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