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Семейный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2016, № 1, ст. 11) следующие изменения</w:t>
      </w:r>
    </w:p>
    <w:p>
      <w:r>
        <w:t>абзац второй пункта 3 статьи 35 дополнить словами ", по правилам статьи 1731 Гражданского кодекса Российской Федерации"</w:t>
      </w:r>
    </w:p>
    <w:p>
      <w:r>
        <w:t>в пункте 2 статьи 39 слова "расходовал общее имущество супругов в ущерб интересам семьи" заменить словами "совершал недобросовестные действия, которые привели к уменьшению общего имущества супругов, в том числе совершал без необходимого в силу пункта 3 статьи 35 настоящего Кодекса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супруга"</w:t>
      </w:r>
    </w:p>
    <w:p>
      <w:r>
        <w:rPr>
          <w:b/>
        </w:rPr>
        <w:t>Статья 2</w:t>
      </w:r>
    </w:p>
    <w:p>
      <w:r>
        <w:t>Статью 30 Жилищного кодекса Российской Федерации (Собрание законодательства Российской Федерации, 2005, № 1, ст. 14; 2015, № 1, ст. 11; 2018, № 1, ст. 87) дополнить частью 11 следующего содержания: "11. Собственник жилого помещения не вправе совершать действия, влекущие возникновение долей в праве собственности на это помещение, а обладатель доли в праве общей собственности на жилое помещение не вправе совершать действия, влекущие разделение этой доли в праве общей собственности,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сособственников, составит менее шести квадратных метров общей площади жилого помещения на каждого сособственника. Сделки, заключенные с нарушением правил, предусмотренных настоящей частью, являются ничтожными. Положения настоящей части не применяются при возникновении права общей долевой собственности на жилое помещение в силу закона, в том числе в результате наследования по любому из оснований, а также в случаях приватизации жилых помещений.".</w:t>
      </w:r>
    </w:p>
    <w:p>
      <w:r>
        <w:rPr>
          <w:b/>
        </w:rPr>
        <w:t>Статья 3</w:t>
      </w:r>
    </w:p>
    <w:p>
      <w:r>
        <w:t>Часть 4 статьи 10 Федерального закона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2008, № 52, ст. 6243; 2010, № 31, ст. 4210; 2011, № 1, ст. 52; № 27, ст. 3880; 2013, № 23, ст. 2886; 2014, № 26, ст. 3377; 2015, № 10, ст. 1424; № 21, ст. 2983; 2017, № 1, ст. 11; 2019, № 12, ст. 1227; № 26, ст. 3317; № 31, ст. 4442; 2020, № 9, ст. 1127; № 29, ст. 4512; № 52, ст. 8597) дополнить предложением следующего содержания: "В этом случае правила части 11 статьи 30 Жилищного кодекса Российской Федерации не применяются.".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2022 года</w:t>
      </w:r>
    </w:p>
    <w:p>
      <w:r>
        <w:rPr>
          <w:b/>
        </w:rPr>
        <w:t xml:space="preserve">2. </w:t>
      </w:r>
      <w:r>
        <w:t>Положения Семейного кодекса Российской Федерации (в редакции настоящего Федерального закона) применяются к отношениям, возникшим после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Положения Жилищного кодекса Российской Федерации (в редакции настоящего Федерального закона) применяются к отношениям, возникшим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