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№ 30, ст. 3015; 2003, № 27, ст. 2706, 2708; № 50, ст. 4847; 2005, № 23, ст. 2200; 2007, № 18, ст. 2118; № 24, ст. 2830, 2833; 2008, № 49, ст. 5724; № 52, ст. 6235; 2009, № 1, ст. 29; № 29, ст. 3613; № 52, ст. 6422; 2010, № 19, ст. 2284; № 30, ст. 3986; № 31, ст. 4164; № 49, ст. 6414; 2011, № 1, ст. 16, 45; № 15, ст. 2039; № 45, ст. 6322, 6334; № 48, ст. 6730; № 50, ст. 7362; 2012, № 10, ст. 1162, 1166; № 24, ст. 3071; № 31, ст. 4330; № 53, ст. 7635; 2013, № 14, ст. 1662; № 26, ст. 3207; № 27, ст. 3478; № 30, ст. 4031, 4050, 4078; № 44, ст. 5641; № 51, ст. 6685; 2014, № 6, ст. 556; № 11, ст. 1094; № 19, ст. 2335; № 26, ст. 3385; № 30, ст. 4278; 2015, № 1, ст. 81, 83; № 6, ст. 885; № 10, ст. 1417; № 29, ст. 4354, 4391; 2016, № 27, ст. 4257; № 28, ст. 4559; 2017, № 24, ст. 3484; № 31, ст. 4752, 4799; 2018, № 1, ст. 51; № 18, ст. 2584; № 27, ст. 3940; № 42, ст. 6375; № 47, ст. 7134; № 53, ст. 8435; 2019, № 14, ст. 1459; № 27, ст. 3525; № 30, ст. 4111; № 52, ст. 7818; 2020, № 14, ст. 2030; № 15, ст. 2235; № 50, ст. 8070; 2021, № 24, ст. 4233; № 27, ст. 5069, 5109; 2022, № 1, ст. 27; № 10, ст. 1389) следующие изменения</w:t>
      </w:r>
    </w:p>
    <w:p>
      <w:r>
        <w:t>в пункте 2 части третьей статьи 31 слова ", судьи конституционного (уставного) суда субъекта Российской Федерации" исключить</w:t>
      </w:r>
    </w:p>
    <w:p>
      <w:r>
        <w:t>в пункте 2 части первой статьи 447 слова "и судьи конституционного (уставного) суда субъекта Российской Федерации" исключить</w:t>
      </w:r>
    </w:p>
    <w:p>
      <w:r>
        <w:t>пункт 5 части первой статьи 448 признать утратившим силу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