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абзац первый подпункта 26 пункта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1534; № 30, ст. 4441; № 45, ст. 6579; № 47, ст. 6842; № 49, ст. 7307, 7315, 7318; 2018, № 1, ст. 50; № 18, ст. 2565, 2568; № 24, ст. 3410; № 45, ст. 6847; № 49, ст. 7496; № 53, ст. 8419; 2019, № 16, ст. 1826; № 30, ст. 4112, 4113, 4114; 2020, № 13, ст. 1857; № 29, ст. 4501; № 31, ст. 5024; № 48, ст. 7627; 2021, № 24, ст. 4214, 4217; № 27, ст. 5133, 5136; № 49, ст. 8146, 8147; 2022, № 11, ст. 1597; № 16, ст. 2598, 2599; № 29, ст. 5288, 5290, 5291; № 45, ст. 7676; Российская газета, 2022, 24 ноября) изменение, дополнив его после слов "российских программ для электронных вычислительных машин и баз данных" словами "и (или) единый реестр результатов научно-исследовательских, опытно-конструкторских и технологических работ военного, специального или двойного назначения".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