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Статья 1 "Статья 11.61. Несоблюдение требования о направлении капитану морского порта сообщения о затонувшем имуществе,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имущества, сроков разработки документации по удалению затонувшего имущества и сроков начала удаления затонувшего имущества "Статья 11.62. Захоронение либо умышленное затопление морского судна или судна внутреннего плавания "Статья 11.63. Несоблюдение требования о страховании или об ином финансовом обеспечении ответственности за удаление затонувшего судна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