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 силу абзаца второго пункта 1 статьи 30 Кодекса внутреннего водного транспорта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