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№ 45, ст. 4377; 2005, № 13, ст. 1078; 2006, № 30, ст. 3290; 2007, № 46, ст. 5554; 2016, № 1, ст. 82; № 27, ст. 4224; 2019, № 52, ст. 7796; 2020, № 8, ст. 915; 2021, № 27, ст. 5159; 2022, № 1, ст. 57; № 12, ст. 1783; № 48, ст. 8325) следующие изменения</w:t>
      </w:r>
    </w:p>
    <w:p>
      <w:r>
        <w:t>пункт 3 статьи 9 признать утратившим силу</w:t>
      </w:r>
    </w:p>
    <w:p>
      <w:r>
        <w:t>пункт 32 статьи 33 после слов "30 килограммов," дополнить словами "сверхлегкие пилотируемые гражданские воздушные суда с массой конструкции 115 килограммов и менее,"</w:t>
      </w:r>
    </w:p>
    <w:p>
      <w:r>
        <w:t>пункт 1 статьи 95 после слов "территории Российской Федерации" дополнить словами ", а также с используемым в целях гражданской авиации воздушным судном, не зарегистрированным (не учтенным) в порядке, установленном статьей 33 настоящего Кодекса,"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