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50, ст. 4847; 2007, № 31, ст. 4007; № 41, ст. 4845; 2009, № 23, ст. 2776; № 45, ст. 5267; 2010, № 1, ст. 1; № 30, ст. 4006; 2011, № 17, ст. 2310; № 27, ст. 3873; № 30, ст. 4573, 4574; 2012, № 31, ст. 4320; 2013, № 14, ст. 1657; № 30, ст. 4029; № 52, ст. 6948; 2014, № 42, ст. 5615; № 48, ст. 6643; № 52, ст. 7548; 2015, № 29, ст. 4346; № 51, ст. 7249; 2016, № 18, ст. 2509; 2017, № 31, ст. 4785; 2018, № 32, ст. 5091; № 53, ст. 8439; 2019, № 30, ст. 4118; 2020, № 26, ст. 4001; 2021, № 1, ст. 60; № 17, ст. 2884; № 24, ст. 4219, 4223; 2022, № 10, ст. 1388, 1398; № 29, ст. 5224, 5257; 2023, № 1, ст. 69; № 32, ст. 6137, 6157) следующие изменения</w:t>
      </w:r>
    </w:p>
    <w:p>
      <w:r>
        <w:t>в статье 11.142: а) часть 3 изложить в следующей редакции: "3. Осуществление перевозки пассажиров и багажа по заказу на условиях, предусматривающих предоставление права проезда в транспортном средстве за плату неопределенному кругу лиц, либо распространение информации об осуществлении перевозки пассажиров и багажа по заказу на указанных условиях - влечет наложение административного штрафа на водителя в размере пяти тысяч рублей; на должностных лиц - тридцати тысяч рублей; на юридических лиц - трехсот тысяч рублей."; б) дополнить частью 5 следующего содержания: "5. Заключение при осуществлении перевозки пассажиров и багажа по заказу договора фрахтования с каждым пассажиром в отдельности - влечет наложение административного штрафа на водителя в размере пяти тысяч рублей; на должностных лиц - пятидесяти тысяч рублей; на юридических лиц - двухсот тысяч рублей."; в) дополнить примечанием следующего содержания: "Примечание.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</w:t>
      </w:r>
    </w:p>
    <w:p>
      <w:r>
        <w:t>в статье 11.33: а) часть 3 признать утратившей силу; б) абзац второй части 4 изложить в следующей редакции: "влечет наложение административного штрафа на водителя в размере пяти тысяч рублей; на должностных лиц - двадцати тысяч рублей; на юридических лиц - пятидесяти тысяч рублей."</w:t>
      </w:r>
    </w:p>
    <w:p>
      <w:r>
        <w:t>в статье 14.12: а) в части 3: в абзаце первом слова "статьей 11.23" заменить словами "статьями 11.23, 11.31, 11.32, 12.311, 12.321 и 19.79"; в абзаце втором слова "и индивидуальных предпринимателей" исключить; б) в части 4: в абзаце первом слова "статьей 11.23" заменить словами "статьями 11.23, 11.32, 12.311, 12.321 и 19.79"; в абзаце втором слова "и индивидуальных предпринимателей" исключить; в) дополнить частью 5 следующего содержания: "5. Осуществление не предусмотренной законодательством Российской Федерации предпринимательской деятельности по перевозке пассажиров и багажа,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багажа, грузов автомобильным транспортом или городским наземным электрическим транспортом - влечет наложение административного штрафа на граждан и должностных лиц в размере пятидесяти тысяч рублей; на юридических лиц - четырехсот тысяч рублей."</w:t>
      </w:r>
    </w:p>
    <w:p>
      <w:r>
        <w:t>часть 13 статьи 32.2 после слов "частью 31 статьи 12.16," дополнить словами "частями 4 - 6 статьи 12.23,"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1, подпункта "б" пункта 2, подпункта "в" пункта 3 и пункта 4 статьи 1 настоящего Федерального закона</w:t>
      </w:r>
    </w:p>
    <w:p>
      <w:r>
        <w:rPr>
          <w:b/>
        </w:rPr>
        <w:t xml:space="preserve">2. </w:t>
      </w:r>
      <w:r>
        <w:t>Пункт 4 статьи 1 настоящего Федерального закона вступает в силу с 1 апреля 2024 года</w:t>
      </w:r>
    </w:p>
    <w:p>
      <w:r>
        <w:rPr>
          <w:b/>
        </w:rPr>
        <w:t xml:space="preserve">3. </w:t>
      </w:r>
      <w:r>
        <w:t>Пункт 1, подпункт "б" пункта 2 и подпункт "в" пункта 3 статьи 1 настоящего Федерального закона вступают в силу с 1 сентября 2024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