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51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двадцатый пункта 1 статьи 51 Бюджетного кодекса Российской Федерации (Собрание законодательства Российской Федерации, 1998, № 31, ст. 3823; 2000, № 32, ст. 3339; 2002, № 22, ст. 2026; 2004, № 34, ст. 3535; 2005, № 52, ст. 5572; 2006, № 45, ст. 4627; № 50, ст. 5279; 2007, № 18, ст. 2117; 2008, № 30, ст. 3617; 2009, № 29, ст. 3582; № 52, ст. 6450; 2010, № 19, ст. 2291; 2012, № 31, ст. 4317; № 50, ст. 6967; 2013, № 30, ст. 4083; № 52, ст. 6983; 2014, № 43, ст. 5795; № 48, ст. 6656; № 52, ст. 7561; 2016, № 1, ст. 26; № 27, ст. 4278; 2018, № 11, ст. 1580; 2019, № 16, ст. 1825; 2021, № 27, ст. 5079; 2022, № 48, ст. 8315; 2023, № 32, ст. 6148) изменение, изложив его в следующей редакции: "регулярных платежей за пользование недрами в случаях, не указанных в абзаце девятнадцатом настоящего пункта, - по нормативу 100 процентов;".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