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Кодекс торгового мореплавания Российской Федерации (Собрание законодательства Российской Федерации, 1999, № 18, ст. 2207) следующие изменения: 1) дополнить статьей 81 следующего содержания: "Статья 81. Техническое управление судном 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rPr>
          <w:b/>
        </w:rPr>
        <w:t xml:space="preserve">12. </w:t>
      </w:r>
      <w:r>
        <w:t>статью 60 дополнить пунктом 3 следующего содержания: "3. Договором технического управления судном могут предусматриваться передача техническому управляющему полномочий по осуществлению им от имени судовладельца прав и исполнению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 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пунктом 1 статьи 81 настоящего Кодекса."</w:t>
      </w:r>
    </w:p>
    <w:p>
      <w:r>
        <w:rPr>
          <w:b/>
        </w:rPr>
        <w:t>Статья 2</w:t>
      </w:r>
    </w:p>
    <w:p>
      <w:r>
        <w:t>Внести в Кодекс внутреннего водного транспорта Российской Федерации (Собрание законодательства Российской Федерации, 2001, № 11, ст. 1001; 2015, № 29, ст. 4356; 2017, № 52, ст. 7923) следующие изменения: 1) статью 28 дополнить пунктом 7 следующего содержания: "7. Договором технического управления судном могут предусматриваться передача техническому управляющему полномочий по осуществлению от имени судовладельца прав и исполнению им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 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пунктом 1 статьи 342 настоящего Кодекса."; 2) в главе VI: а) наименование изложить в следующей редакции: "Глава VI. Безопасность судоходства, эксплуатация судна"; б) дополнить статьей 342 следующего содержания: "Статья 342. Техническое управление судном 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rPr>
          <w:b/>
        </w:rPr>
        <w:t>Статья 3</w:t>
      </w:r>
    </w:p>
    <w:p>
      <w:r>
        <w:t>В части 2 статьи 181 Федерального закона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2023, № 8, ст. 1202) слова "1 марта" заменить словами "1 сентября".</w:t>
      </w:r>
    </w:p>
    <w:p>
      <w:r>
        <w:rPr>
          <w:b/>
        </w:rPr>
        <w:t>Статья 4</w:t>
      </w:r>
    </w:p>
    <w:p>
      <w:r>
        <w:t>Внести в Федеральный закон от 17 февраля 2023 года № 24-ФЗ "О внесении изменений в отдельные законодательные акты Российской Федерации" (Собрание законодательства Российской Федерации, 2023, № 8, ст. 1202) следующие изменения</w:t>
      </w:r>
    </w:p>
    <w:p>
      <w:r>
        <w:t>в статье 4 слова "1 марта" заменить словами "1 сентября"</w:t>
      </w:r>
    </w:p>
    <w:p>
      <w:r>
        <w:t>в части 2 статьи 5 слова "1 марта" заменить словами "1 сентября"</w:t>
      </w:r>
    </w:p>
    <w:p>
      <w:r>
        <w:rPr>
          <w:b/>
        </w:rPr>
        <w:t>Статья 5</w:t>
      </w:r>
    </w:p>
    <w:p>
      <w:r>
        <w:t>В части 1 статьи 5 Федерального закона от 3 апреля 2023 года № 107-ФЗ "О внесении изменений в Федеральный закон "О транспортной безопасности" и отдельные законодательные акты Российской Федерации" (Собрание законодательства Российской Федерации, 2023, № 14, ст. 2384) слова "1 марта" заменить словами "1 сентября".</w:t>
      </w:r>
    </w:p>
    <w:p>
      <w:r>
        <w:rPr>
          <w:b/>
        </w:rPr>
        <w:t>Статья 6</w:t>
      </w:r>
    </w:p>
    <w:p>
      <w:r>
        <w:t>В статье 2 Федерального закона от 28 апреля 2023 года № 147-ФЗ "О внесении изменения в Федеральный закон "О железнодорожном транспорте в Российской Федерации" (Собрание законодательства Российской Федерации, 2023, № 18, ст. 3224) слова "1 марта" заменить словами "1 сентября".</w:t>
      </w:r>
    </w:p>
    <w:p>
      <w:r>
        <w:rPr>
          <w:b/>
        </w:rPr>
        <w:t>Статья 7</w:t>
      </w:r>
    </w:p>
    <w:p>
      <w:r>
        <w:t>В части 2 статьи 3 Федерального закона от 29 мая 2023 года № 193-ФЗ "О внесении изменений в Федеральный закон "О транспортной безопасности" и статью 91 Закона Российской Федерации "О Государственной границе Российской Федерации" (Собрание законодательства Российской Федерации, 2023, № 23, ст. 4013) слова "1 марта" заменить словами "1 сентября".</w:t>
      </w:r>
    </w:p>
    <w:p>
      <w:r>
        <w:rPr>
          <w:b/>
        </w:rPr>
        <w:t>Статья 8</w:t>
      </w:r>
    </w:p>
    <w:p>
      <w:r>
        <w:t>В статье 6 Федерального закона от 10 июля 2023 года № 294-ФЗ "О внесении изменений в отдельные законодательные акты Российской Федерации" (Собрание законодательства Российской Федерации, 2023, № 29, ст. 5312) слова "1 марта" заменить словами "1 сентября".</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статей 1 и 2 настоящего Федерального закона</w:t>
      </w:r>
    </w:p>
    <w:p>
      <w:r>
        <w:rPr>
          <w:b/>
        </w:rPr>
        <w:t xml:space="preserve">2. </w:t>
      </w:r>
      <w:r>
        <w:t>Статьи 1 и 2 настоящего Федерального закона вступают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