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5023; 2002, № 22, ст. 2026; № 30, ст. 3021, 3027; 2003, № 1, ст. 2, 5, 6; № 21, ст. 1958; № 28, ст. 2886; № 46, ст. 4443; № 52, ст. 5030; 2004, № 27, ст. 2711, 2715; № 31, ст. 3231; № 34, ст. 3517, 3518, 3520, 3524; № 35, ст. 3607; № 45, ст. 4377; 2005, № 1, ст. 30, 38; № 24, ст. 2312; № 27, ст. 2707, 2710, 2717; № 30, ст. 3101, 3104, 3112, 3128, 3129, 3130; № 52, ст. 5581; 2006, № 10, ст. 1065; № 12, ст. 1233; № 31, ст. 3436, 3443, 3452; № 45, ст. 4627, 4628; № 50, ст. 5279, 5286; 2007, № 1, ст. 20, 39; № 13, ст. 1465; № 22, ст. 2563; № 23, ст. 2691; № 31, ст. 3991, 4013; № 45, ст. 5416, 5417, 5432; № 49, ст. 6045, 6071; № 50, ст. 6237, 6245; 2008, № 18, ст. 1942; № 26, ст. 3022; № 27, ст. 3126; № 30, ст. 3611, 3614, 3616; № 48, ст. 5500, 5504, 5519; № 49, ст. 5723, 5749; № 52, ст. 6237; 2009, № 1, ст. 31; № 11, ст. 1265; № 18, ст. 2147; № 23, ст. 2772; № 29, ст. 3598, 3639; № 30, ст. 3739; № 39, ст. 4534; № 45, ст. 5271; № 48, ст. 5725, 5726, 5731, 5733, 5737; № 51, ст. 6153, 6155; № 52, ст. 6444, 6455; 2010, № 15, ст. 1737, 1746; № 19, ст. 2291; № 25, ст. 3070; № 31, ст. 4176, 4186, 4198; № 32, ст. 4298; № 45, ст. 5750, 5756; № 47, ст. 6034; № 48, ст. 6247, 6250; № 49, ст. 6409; 2011, № 1, ст. 7, 9, 21; № 11, ст. 1492; № 23, ст. 3262; № 24, ст. 3357; № 26, ст. 3652; № 27, ст. 3881; № 29, ст. 4291; № 30, ст. 4583, 4587, 4593, 4597; № 45, ст. 6335; № 47, ст. 6610, 6611; № 48, ст. 6729, 6731; № 49, ст. 7014, 7015, 7016, 7037; № 50, ст. 7359; 2012, № 10, ст. 1164; № 19, ст. 2281; № 25, ст. 3268; № 26, ст. 3447; № 27, ст. 3588; № 31, ст. 4334; № 41, ст. 5526, 5527; № 49, ст. 6750, 6751; № 53, ст. 7596, 7604, 7607, 7619; 2013, № 23, ст. 2866, 2889; № 27, ст. 3444; № 30, ст. 4031, 4048, 4049, 4081, 4084; № 40, ст. 5038; № 44, ст. 5640, 5645; № 48, ст. 6165; № 51, ст. 6699; № 52, ст. 6985; 2014, № 8, ст. 737; № 16, ст. 1835, 1838; № 19, ст. 2313; № 23, ст. 2936, 2938; № 26, ст. 3373; № 30, ст. 4239; № 40, ст. 5316; № 48, ст. 6647, 6657, 6660, 6663; 2015, № 1, ст. 5, 13, 15, 16, 17, 18, 32; № 10, ст. 1402; № 14, ст. 2023, 2024; № 24, ст. 3373, 3377; № 27, ст. 3968; № 41, ст. 5632; № 48, ст. 6684, 6686, 6688, 6689, 6692, 6693, 6694; 2016, № 1, ст. 6, 16, 18; № 7, ст. 920; № 14, ст. 1902; № 18, ст. 2504; № 22, ст. 3098; № 23, ст. 3298; № 26, ст. 3856; № 27, ст. 4175, 4176, 4180, 4181, 4182, 4184; № 49, ст. 6841, 6843, 6844, 6847, 6848, 6849, 6851; 2017, № 1, ст. 4; № 11, ст. 1534; № 15, ст. 2131, 2133; № 30, ст. 4441, 4446; № 40, ст. 5753; № 45, ст. 6578, 6579; № 47, ст. 6842; № 49, ст. 7307, 7313, 7314, 7315, 7316, 7318, 7322, 7323, 7324, 7325, 7326; 2018, № 1, ст. 20, 50; № 9, ст. 1289, 1291; № 18, ст. 2558, 2565, 2568, 2575; № 24, ст. 3410; № 27, ст. 3942; № 28, ст. 4143; № 30, ст. 4534; № 32, ст. 5087, 5090, 5093, 5094, 5095, 5096; № 45, ст. 6836, 6844, 6847; № 47, ст. 7126, 7135; № 49, ст. 7496, 7497, 7499; № 53, ст. 8416, 8419; 2019, № 16, ст. 1826; № 18, ст. 2225; № 22, ст. 2664, 2667; № 23, ст. 2906, 2908, 2920; № 25, ст. 3167; № 27, ст. 3523; № 30, ст. 4112, 4113, 4114; № 31, ст. 4414, 4427; № 39, ст. 5371, 5372, 5373, 5374, 5375, 5377; № 52, ст. 7777, 7778; 2020, № 12, ст. 1657; № 13, ст. 1857; № 14, ст. 2032; № 17, ст. 2699; № 24, ст. 3746; № 29, ст. 4501, 4505, 4514; № 30, ст. 4746; № 31, ст. 5024; № 42, ст. 6507, 6508, 6522; № 46, ст. 7212; № 48, ст. 7627; 2021, № 1, ст. 9; № 8, ст. 1198; № 17, ст. 2887; № 18, ст. 3047, 3048; № 24, ст. 4214, 4217; № 27, ст. 5133, 5136; № 49, ст. 8146, 8147; 2022, № 9, ст. 1250; № 11, ст. 1597; № 13, ст. 1955, 1956; № 16, ст. 2598, 2599; № 27, ст. 4597, 4612, 4626; № 29, ст. 5206, 5230, 5288, 5290, 5291, 5301; № 45, ст. 7676; № 48, ст. 8307, 8310; № 52, ст. 9350, 9353, 9379; 2023, № 1, ст. 12, 43, 66; № 8, ст. 1200; № 9, ст. 1415; № 18, ст. 3250; № 23, ст. 4020, 4021; № 26, ст. 4669, 4670, 4676; № 32, ст. 6121; № 43, ст. 7603; № 45, ст. 7994; № 47, ст. 8310, 8315; № 49, ст. 8656; № 52, ст. 9508, 9523, 9524, 9525; 2024, № 1, ст. 24; № 10, ст. 1312; № 13, ст. 1672, 1681; № 18, ст. 2405; № 23, ст. 3038, 3059, 3061; № 29, ст. 4105; № 33, ст. 4955, 4979; № 45, ст. 6693; № 48, ст. 7207; № 49, ст. 7407, 7409, 7421) следующие изменения</w:t>
      </w:r>
    </w:p>
    <w:p>
      <w:r>
        <w:t>пункт 2 статьи 146 дополнить подпунктом 29 следующего содержания: "29) передача товаров (выполнение работ, оказание услуг) на безвозмездной основе являющимся казенными учреждениями воинским частям и организациям Вооруженных Сил Российской Федерации, войск национальной гвардии Российской Федерации, органов федеральной службы безопасности при условии, что данные товары (работы, услуги) передаются (выполняются, оказываются) в целях их использования указанными воинскими частями и организациями в ходе специальной военной операции. Факт получения указанными воинской частью или организацией данных товаров (работ, услуг) и цели их использования подтверждаются документом, подписанным командиром (руководителем) указанных воинской части или организации либо уполномоченным им лицом."</w:t>
      </w:r>
    </w:p>
    <w:p>
      <w:r>
        <w:t>в абзаце шестом подпункта 38 пункта 3 статьи 149 слова "два миллиарда рублей" заменить словами "три миллиарда рублей"</w:t>
      </w:r>
    </w:p>
    <w:p>
      <w:r>
        <w:t>в пункте 1 статьи 164: а) дополнить подпунктом 94 следующего содержания: "94) услуг по перевозке пассажиров и багажа высокоскоростным железнодорожным транспортом по высокоскоростной железнодорожной магистрали Москва - Санкт-Петербург (далее в настоящем подпункте - высокоскоростная железнодорожная магистраль), оказываемых в соответствии с концессионным соглашением о финансировании, создании, эксплуатации инфраструктуры высокоскоростного железнодорожного транспорта общего пользования, а также услуг по организации таких перевозок пассажиров и багажа (далее в настоящем подпункте - услуги по организации перевозок). В целях настоящего подпункта к услугам по организации перевозок относятся услуги по заключению и исполнению договоров перевозки пассажиров и багажа высокоскоростным железнодорожным транспортом по высокоскоростной железнодорожной магистрали, по организации распространения проездных документов (билетов) для проезда по высокоскоростной железнодорожной магистрали, по осуществлению сбора и перечисления заказчику по договору на оказание услуг по организации перевозок денежных средств, поступивших в качестве оплаты проездных документов (билетов) для проезда по высокоскоростной железнодорожной магистрали, по проверке наличия и действительности проездных документов (билетов) для проезда по высокоскоростной железнодорожной магистрали и по пресечению случаев безбилетного проезда, по эксплуатации, обслуживанию и ремонту высокоскоростного железнодорожного подвижного состава, пассажирской инфраструктуры высокоскоростного железнодорожного транспорта, по допуску высокоскоростного железнодорожного подвижного состава к эксплуатации на инфраструктуре высокоскоростного железнодорожного транспорта, по проверке работоспособности систем и иных параметров высокоскоростного железнодорожного подвижного состава, по управлению высокоскоростным железнодорожным подвижным составом при осуществлении перевозок по высокоскоростной железнодорожной магистрали, по подготовке графика движения поездов, по обслуживанию пассажиров, по размещению, трансляции информации, в том числе навигационного характера, на объектах пассажирской инфраструктуры высокоскоростного железнодорожного транспорта, а также по обеспечению соблюдения требований транспортной безопасности при эксплуатации высокоскоростного железнодорожного подвижного состава, на объектах пассажирской инфраструктуры высокоскоростного железнодорожного транспорта и объектах иной инфраструктуры, необходимой для содержания, обслуживания и ремонта высокоскоростного железнодорожного подвижного состава. К услугам по организации перевозок не относятся не указанные в настоящем подпункте услуги по организации рекламной, торговой и иной коммерческой деятельности в высокоскоростном железнодорожном подвижном составе и на объектах пассажирской инфраструктуры высокоскоростного железнодорожного транспорта;"; б) подпункт 19 изложить в следующей редакции: "19) услуг по предоставлению мест для временного проживания в гостиницах и иных средствах размещения. Положения настоящего подпункта применяются по 31 декабря 2030 года включительно, если иное не установлено настоящим подпунктом. Налогоплательщики, оказывающие услуги по предоставлению мест для временного проживания в гостиницах и иных средствах размещения, которые являются объектами туристской индустрии, указанными в абзаце первом подпункта 18 настоящего пункта, вправе в отношении указанных услуг применять налоговую ставку 0 процентов до наступления наиболее поздней из следующих дат: последний день налогового периода (включительно), в котором истекают двадцать последовательных налоговых периодов, следующих за налоговым периодом, в котором соответствующий объект туристской индустрии был введен в эксплуатацию (в том числе после реконструкции);"</w:t>
      </w:r>
    </w:p>
    <w:p>
      <w:r>
        <w:t>в статье 165: а) дополнить пунктом 56 следующего содержания: "56. При реализации услуг по перевозке пассажиров и багажа, предусмотренных подпунктом 94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представляется реестр перевозочных (проездных) документов по перевозке пассажиров и багажа с указанием в нем номеров перевозочных (проездных) документов, определяющих маршрут перевозки, пунктов отправления и назначения, даты оказания услуг, стоимости услуг по перевозке пассажиров и багажа. При реализации услуг по перевозке пассажиров и багажа, предусмотренных подпунктом 94 пункта 1 статьи 164 настоящего Кодекса, через комиссионера, поверенного либо агента по договору комиссии, договору поручения либо агентскому договору для подтверждения обоснованности применения налоговой ставки 0 процентов и налоговых вычетов в налоговые органы наряду с реестром перевозочных (проездных) документов по перевозке пассажиров и багажа, указанным в абзаце первом настоящего пункта, представляется договор комиссии, договор поручения либо агентский договор (копия договора) налогоплательщика с комиссионером, поверенным либо агентом. При реализации услуг по организации перевозок пассажиров и багажа, предусмотренных подпунктом 94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представляются: договор или контракт (копия договора или контракта) налогоплательщика на оказание услуг по организации перевозок пассажиров и багажа; акт или иные документы (их копии), подтверждающие оказание услуг по организации перевозок пассажиров и багажа."; б) в пункте 15: в абзаце первом цифры "210" заменить цифрами "28-1, 210, 213", после цифр "93," дополнить цифрами "94,"; абзац шестой после слов "пункта 38," дополнить словами "подпунктами 2 - 4 пункта 38-1, подпунктами 2 - 4 пункта 311,"; абзац девятый после цифр "53," дополнить цифрами "56,"</w:t>
      </w:r>
    </w:p>
    <w:p>
      <w:r>
        <w:t>абзац первый подпункта 2 пункта 3 статьи 170 после цифр "26" дополнить цифрами ", 29"</w:t>
      </w:r>
    </w:p>
    <w:p>
      <w:r>
        <w:t>в пункте 25 статьи 171 слова "и 26" заменить словами ", 26 и 29"</w:t>
      </w:r>
    </w:p>
    <w:p>
      <w:r>
        <w:t>пункт 52 статьи 1797 изложить в следующей редакции: "52.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ежегодно до 1 июля текущего года осуществляет проверку выполнения мероприятий, указанных в соглашении о модернизации нефтеперерабатывающих мощностей, в предыдущем календарном году.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расторгает соглашение о модернизации нефтеперерабатывающих мощностей в одностороннем порядке в случае нарушения сроков реализации хотя бы одного из мероприятий, предусмотренных таким соглашением, за исключением: нарушения сроков реализации и финансирования мероприятий, указанных в таком соглашении, приходящихся на период 2022 и 2023 годов, при условии их выполнения по 31 декабря 2023 года включительно; нарушения сроков реализации и финансирования мероприятий, указанных в таком соглашении, заключенном по основанию, указанному в подпункте 2 пункта 5 настоящей статьи, приходящихся на период 2023 года, при условии их выполнения по 31 декабря 2025 года включительно; нарушения сроков реализации и финансирования мероприятий, указанных в таком соглашении, приходящихся на период 2024 года, при условии внесения изменений в указанное соглашение в отношении таких мероприятий в порядке, предусмотренном пунктом 51 настоящей статьи.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уведомляет организацию, являющуюся стороной соглашения о модернизации нефтеперерабатывающих мощностей, о расторжении соглашения о модернизации нефтеперерабатывающих мощностей в течение пятнадцати рабочих дней со дня расторжения указанного соглашения."</w:t>
      </w:r>
    </w:p>
    <w:p>
      <w:r>
        <w:t>в абзаце седьмом пункта 8 статьи 217 слова "50 тысяч рублей" заменить словами "1 миллиона рублей"</w:t>
      </w:r>
    </w:p>
    <w:p>
      <w:r>
        <w:t>пункт 1 статьи 251 дополнить подпунктом 117 следующего содержания: "117) в виде имущества (за исключением денежных средств), работ, услуг, безвозмездно полученных являющимися казенными учреждениями воинской частью или организацией Вооруженных Сил Российской Федерации, войск национальной гвардии Российской Федерации или органов федеральной службы безопасности, при условии, что данные имущество, работы, услуги получены в целях их использования указанными воинской частью или организацией в ходе специальной военной операции;"</w:t>
      </w:r>
    </w:p>
    <w:p>
      <w:r>
        <w:t>пункт 1 статьи 265: а) дополнить подпунктом 1912-1 следующего содержания: "1912-1) расходы в виде стоимости имущества (за исключением денежных средств), работ, услуг, безвозмездно переданных являющимся казенными учреждениями воинским частям и организациям Вооруженных Сил Российской Федерации, войск национальной гвардии Российской Федерации, органов федеральной службы безопасности, при условии, что данные имущество, работы, услуги переданы в целях их использования указанными воинскими частями и организациями в ходе специальной военной операции. Факт получения указанными воинской частью или организацией данного имущества (результатов выполненных работ, оказанных услуг) и цели его (их) использования подтверждаются документом, подписанным командиром (руководителем) указанных воинской части или организации либо уполномоченным им лицом;"; б) дополнить подпунктом 1915 следующего содержания: "1915) расходы в виде сумм единовременных выплат, указанных в абзаце седьмом пункта 8 статьи 217 настоящего Кодекса;"</w:t>
      </w:r>
    </w:p>
    <w:p>
      <w:r>
        <w:t>в пункте 2 статьи 266: а) дополнить новым абзацем восемнадцатым следующего содержания: "Безнадежным долгом (долгом, нереальным к взысканию) также признается задолженность по процентам по долговым обязательствам иностранной организации, которые признаны в составе доходов в соответствии с положениями подпункта 144 пункта 4 статьи 271 настоящего Кодекса, при выполнении условий, указанных в подпункте 12 пункта 2 статьи 310 настоящего Кодекса."; б) абзац восемнадцатый считать абзацем девятнадцатым</w:t>
      </w:r>
    </w:p>
    <w:p>
      <w:r>
        <w:t>подпункт 144 пункта 4 статьи 271 изложить в следующей редакции: "144) дата, определяемая в соответствии с пунктом 2 статьи 273 настоящего Кодекса, но не позднее 31 декабря 2029 года - для доходов в виде процентов, начисленных в 2023 - 2029 годах, по долговым обязательствам иностранной организации перед налогоплательщиком, доля прямого участия которого в этой иностранной организации составляет более 50 процентов, если в отношении этой иностранной организации в соответствии с законодательством и (или) решениями судов иностранного государства после 5 марта 2022 года были установлены ограничительные меры, в результате которых прекращается начисление процентов по обязательствам этой иностранной организации перед налогоплательщиком. В целях настоящего подпункта для доходов в виде процентов, причисленных к основной сумме долга, датой получения дохода считается дата погашения основной суммы долга;"</w:t>
      </w:r>
    </w:p>
    <w:p>
      <w:r>
        <w:t>пункт 2 статьи 310 дополнить подпунктом 12 следующего содержания: "12) случаев, когда иностранной организацией получен доход в виде прекращения обязательств в части уплаты сумм задолженности по процентам в связи с прощением долга по долговым обязательствам такой иностранной организации перед налоговым агентом при выполнении следующих условий: прощение задолженности происходит на основании соглашения, утверждаемого в иностранном государстве в судебном порядке в рамках финансового оздоровления такой иностранной организации; заимодавец - налоговый агент и заемщик - иностранная организация входят в одну международную группу компаний; в отношении такой иностранной организации на дату прекращения обязательств действуют запретительные, ограничительные и (или) аналогичные меры, заключающиеся в установлении запретов и (или) ограничений на проведение расчетов и (или) осуществление финансовых операций, запретов и (или) ограничений на проведение операций, связанных с заемным финансированием и (или) приобретением либо отчуждением ценных бумаг (долей участия в уставном капитале), введенные начиная с 2022 года иностранными государствами, экономическими, политическими, военными или иными объединениями стран, международными финансовыми и иными организациями."</w:t>
      </w:r>
    </w:p>
    <w:p>
      <w:r>
        <w:t>пункт 2 статьи 3465 дополнить подпунктом 49 следующего содержания: "49) расходы в виде стоимости имущества (за исключением денежных средств), работ, услуг, безвозмездно переданных являющимся казенными учреждениями воинским частям и организациям Вооруженных Сил Российской Федерации, войск национальной гвардии Российской Федерации, органов федеральной службы безопасности, при условии, что данные имущество, работы, услуги переданы в целях их использования указанными воинскими частями и организациями в ходе специальной военной операции. Факт получения указанными воинской частью или организацией данного имущества (результатов выполненных работ, оказанных услуг) и цели его (их) использования подтверждаются документом, подписанным командиром (руководителем) указанных воинской части или организации либо уполномоченным им лицом."</w:t>
      </w:r>
    </w:p>
    <w:p>
      <w:r>
        <w:t>пункт 1 статьи 34616 дополнить подпунктом 44 следующего содержания: "44) расходы в виде стоимости имущества (за исключением денежных средств), работ, услуг, безвозмездно переданных являющимся казенными учреждениями воинским частям и организациям Вооруженных Сил Российской Федерации, войск национальной гвардии Российской Федерации, органов федеральной службы безопасности, при условии, что данные имущество, работы, услуги переданы в целях их использования указанными воинскими частями и организациями в ходе специальной военной операции. Факт получения указанными воинской частью или организацией данного имущества (результатов выполненных работ, оказанных услуг) и цели его (их) использования подтверждаются документом, подписанным командиром (руководителем) указанных воинской части или организации либо уполномоченным им лицом."</w:t>
      </w:r>
    </w:p>
    <w:p>
      <w:r>
        <w:t>в абзаце четвертом подпункта 3 пункта 1 статьи 422 слова "50 000 рублей" заменить словами "1 миллиона рублей"</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2 - 4, 8, подпункт "б" пункта 10 и пункт 16 статьи 1 настоящего Федерального закона вступают в силу по истечении одного месяца со дня его официального опубликования, но не ранее 1-го числа очередного налогового (расчетного) периода по соответствующему налогу (страховым взносам)</w:t>
      </w:r>
    </w:p>
    <w:p>
      <w:r>
        <w:rPr>
          <w:b/>
        </w:rPr>
        <w:t xml:space="preserve">3. </w:t>
      </w:r>
      <w:r>
        <w:t>Положения подпункта 94 пункта 1 статьи 164 и пункта 56 статьи 165 Налогового кодекса Российской Федерации применяются в отношении операций по реализации услуг по перевозке (организации перевозки) пассажиров и багажа по высокоскоростной железнодорожной магистрали Москва - Санкт-Петербург, осуществленных в период с 1 января 2028 года до 1 января 2065 года</w:t>
      </w:r>
    </w:p>
    <w:p>
      <w:r>
        <w:rPr>
          <w:b/>
        </w:rPr>
        <w:t xml:space="preserve">4. </w:t>
      </w:r>
      <w:r>
        <w:t>Действие положений абзаца восемнадцатого пункта 2 статьи 266, подпункта 144 пункта 4 статьи 271 и подпункта 12 пункта 2 статьи 310 Налогового кодекса Российской Федерации (в редакции настоящего Федерального закона) распространяется на правоотношения, возникшие с 1 января 2025 года</w:t>
      </w:r>
    </w:p>
    <w:p>
      <w:r>
        <w:rPr>
          <w:b/>
        </w:rPr>
        <w:t xml:space="preserve">5. </w:t>
      </w:r>
      <w:r>
        <w:t>Действие положений подпункта 29 пункта 2 статьи 146, абзаца первого подпункта 2 пункта 3 статьи 170, пункта 25 статьи 171, подпункта 117 пункта 1 статьи 251, подпункта 1912-1 пункта 1 статьи 265, подпункта 49 пункта 2 статьи 3465 и подпункта 44 пункта 1 статьи 34616 Налогового кодекса Российской Федерации (в редакции настоящего Федерального закона) распространяется на правоотношения, возникшие с 1 июля 2025 года</w:t>
      </w:r>
    </w:p>
    <w:p>
      <w:r>
        <w:rPr>
          <w:b/>
        </w:rPr>
        <w:t xml:space="preserve">6. </w:t>
      </w:r>
      <w:r>
        <w:t>Положения абзаца восемнадцатого пункта 2 статьи 266 и подпункта 12 пункта 2 статьи 310 Налогового кодекса Российской Федерации применяются по 31 декабря 2029 года включительно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