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статьи 127 и 146 Семейного кодекса Российской Федерации</w:t>
      </w:r>
    </w:p>
    <w:p>
      <w:r>
        <w:rPr>
          <w:b/>
        </w:rPr>
        <w:t>Статья 1</w:t>
      </w:r>
    </w:p>
    <w:p>
      <w:r>
        <w:t>Внести в Семейный кодекс Российской Федерации (Собрание законодательства Российской Федерации, 1996, № 1, ст. 16; 2010, № 52, ст. 7001; 2011, № 49, ст. 7029; 2013, № 27, ст. 3459; № 48, ст. 6165; 2015, № 17, ст. 2476; № 29, ст. 4363; 2016, № 1, ст. 77; 2017, № 45, ст. 6576; 2019, № 22, ст. 2671; 2023, № 31, ст. 5812) следующие изменения</w:t>
      </w:r>
    </w:p>
    <w:p>
      <w:r>
        <w:t>подпункт 14 пункта 1 статьи 127 дополнить словами ", а также лиц, являющихся гражданами государств, в которых разрешены смена пола путем медицинского вмешательства, включая применение лекарственных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документы, удостоверяющие личность, изменений о половой принадлежности этих граждан без медицинского вмешательства, и лиц без гражданства, имеющих постоянное место жительства в указанных государствах"</w:t>
      </w:r>
    </w:p>
    <w:p>
      <w:r>
        <w:t>абзац седьмой пункта 1 статьи 146 дополнить словами ", а также лица, являющиеся гражданами государств, в которых разрешены смена пола путем медицинского вмешательства, включая применение лекарственных препаратов, направленных на смену пола, в том числе на формирование у человека первичных и (или) вторичных половых признаков другого пола, и внесение в документы, удостоверяющие личность, изменений о половой принадлежности этих граждан без медицинского вмешательства, и лица без гражданства, имеющие постоянное место жительства в указанных государствах"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