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65 Водного кодекса Российской Федерации и статью 38 Федерального закона "Об особо охраняемых природных территориях"</w:t>
      </w:r>
    </w:p>
    <w:p>
      <w:r>
        <w:rPr>
          <w:b/>
        </w:rPr>
        <w:t>Статья 1</w:t>
      </w:r>
    </w:p>
    <w:p>
      <w:r>
        <w:t>Внести в статью 65 Водного кодекса Российской Федерации (Собрание законодательства Российской Федерации, 2006, № 23, ст. 2381; 2008, № 29, ст. 3418; 2011, № 29, ст. 4281; № 50, ст. 7359; 2013, № 43, ст. 5452; 2014, № 26, ст. 3387; 2015, № 1, ст. 11; № 29, ст. 4370; 2017, № 31, ст. 4766; 2018, № 32, ст. 5135; № 53, ст. 8464; 2019, № 31, ст. 4453; 2020, № 50, ст. 8061; 2021, № 52, ст. 8979; 2022, № 1, ст. 14; № 18, ст. 3008; 2023, № 51, ст. 9155; № 52, ст. 9526; 2024, № 1, ст. 38; 2025, № 31, ст. 4707) следующие изменения</w:t>
      </w:r>
    </w:p>
    <w:p>
      <w:r>
        <w:t>пункт 4 части 15 дополнить словами ", а также движения транспортных средств автомобильного транспорта на период создания объектов, предназначенных для осуществления рекреационной деятельности, в соответствии с частью 164 настоящей статьи"</w:t>
      </w:r>
    </w:p>
    <w:p>
      <w:r>
        <w:t>дополнить частью 164 следующего содержания: "164. В границах водоохранных зон допускается создание дорог необщего пользования, в том числе лесных дорог, для движения транспортных средств автомобильного транспорта на период создания объектов, предназначенных для осуществления рекреационной деятельности, при условии проведения мероприятий, направленных на предотвращение загрязнения, засорения водоохранных зон и водных объектов, заиления и истощения их вод, а также на сохранение среды обитания водных биологических ресурсов и других объектов животного и растительного мира (оборудование таких дорог деревянными настилами, бетонными плитами, подсыпка щебня или гравия). Такие дороги после того, как отпадет в них надобность, подлежат сносу, а земли, на которых они располагались, - рекультивации."</w:t>
      </w:r>
    </w:p>
    <w:p>
      <w:r>
        <w:rPr>
          <w:b/>
        </w:rPr>
        <w:t>Статья 2</w:t>
      </w:r>
    </w:p>
    <w:p>
      <w:r>
        <w:t>Статью 38 Федерального закона от 14 марта 1995 года № 33-ФЗ "Об особо охраняемых природных территориях" (Собрание законодательства Российской Федерации, 1995, № 12, ст. 1024; 2009, № 52, ст. 6455; 2018, № 32, ст. 5114; 2020, № 31, ст. 5013; 2022, № 18, ст. 3010; 2024, № 33, ст. 4928, 4957) дополнить пунктами 6 и 7 следующего содержания: "6.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 а) указанные объекты введены в эксплуатацию до 1 сентября 2023 года и права на указанные объекты зарегистрированы в Едином государственном реестре недвижимости; б) указанные объекты расположены в границах рекреационной зоны, зоны охраны объектов культурного наследия или зоны хозяйственного назначения национального парка и включены в план рекреационной деятельности национального парка; в) предельное количество этажей и (или) предельная высота указанных объектов в результате реконструкции не должны превышать количество этажей и (или) предельную высоту объектов капитального строительства, которые удостоверены выданным до 1 сентября 2023 года разрешением на ввод объектов в эксплуатацию; г) сохраняются ранее установленные основной и вспомогательный виды разрешенного использования земельных участков, на которых расположены указанные объекты; д) максимальный процент застройки в границах земельных участков, на которых расположены указанные объекты, соответствует максимальному проценту застройки, установленному градостроительными планами земельных участков, действующими на дату выдачи разрешения на строительство (при наличии градостроительных планов); е) минимальные отступы от границ земельных участков, на которых расположены указанные объекты, соответствуют минимальным отступам от границ земельных участков, установленным градостроительными планами земельных участков, действующими на дату выдачи разрешения на строительство (при наличии градостроительных планов).</w:t>
      </w:r>
    </w:p>
    <w:p>
      <w:r>
        <w:rPr>
          <w:b/>
        </w:rPr>
        <w:t xml:space="preserve">7. </w:t>
      </w:r>
      <w:r>
        <w:t>Положения об особо охраняемой природной территории национального парка в части, устанавливающей виды разрешенного использования земельных участков и предельные параметры разрешенного строительства, реконструкции в отношении объектов капитального строительства, применяются к объектам капитального строительства, указанным в пункте 6 настоящей статьи, с учетом условий, установленных пунктом 6 настоящей статьи."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